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20E9C0DA" w:rsidR="001D32DF" w:rsidRPr="00296174" w:rsidRDefault="001D32DF" w:rsidP="00296174">
      <w:pPr>
        <w:ind w:left="426" w:right="-17"/>
        <w:jc w:val="center"/>
        <w:rPr>
          <w:rFonts w:ascii="Arial" w:hAnsi="Arial" w:cs="Arial"/>
          <w:b/>
        </w:rPr>
      </w:pPr>
      <w:bookmarkStart w:id="0" w:name="_Hlk142658039"/>
      <w:r w:rsidRPr="00296174">
        <w:rPr>
          <w:rFonts w:ascii="Arial" w:hAnsi="Arial" w:cs="Arial"/>
          <w:b/>
        </w:rPr>
        <w:t>ANEXO V</w:t>
      </w:r>
      <w:r w:rsidR="00FF2E17" w:rsidRPr="00296174">
        <w:rPr>
          <w:rFonts w:ascii="Arial" w:hAnsi="Arial" w:cs="Arial"/>
          <w:b/>
        </w:rPr>
        <w:t>I</w:t>
      </w:r>
      <w:r w:rsidR="00E975CF">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110CFE0B"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E975CF">
        <w:rPr>
          <w:rFonts w:ascii="Arial" w:hAnsi="Arial" w:cs="Arial"/>
          <w:b/>
          <w:bCs/>
          <w:sz w:val="22"/>
          <w:szCs w:val="22"/>
        </w:rPr>
        <w:t xml:space="preserve">Administrativo nº </w:t>
      </w:r>
      <w:r w:rsidR="00E975CF" w:rsidRPr="00E975CF">
        <w:rPr>
          <w:rFonts w:ascii="Arial" w:hAnsi="Arial" w:cs="Arial"/>
          <w:b/>
          <w:bCs/>
          <w:sz w:val="22"/>
          <w:szCs w:val="22"/>
        </w:rPr>
        <w:t>1.615/2024</w:t>
      </w:r>
      <w:r w:rsidR="005466C3" w:rsidRPr="00E975CF">
        <w:rPr>
          <w:rFonts w:ascii="Arial" w:hAnsi="Arial" w:cs="Arial"/>
          <w:b/>
          <w:bCs/>
          <w:sz w:val="22"/>
          <w:szCs w:val="22"/>
        </w:rPr>
        <w:t xml:space="preserve"> </w:t>
      </w:r>
      <w:r w:rsidRPr="009872FB">
        <w:rPr>
          <w:rFonts w:ascii="Arial" w:hAnsi="Arial" w:cs="Arial"/>
          <w:sz w:val="22"/>
          <w:szCs w:val="22"/>
        </w:rPr>
        <w:t xml:space="preserve">e 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 xml:space="preserve">resolvem celebrar o presente Termo de Contrato, decorrente do </w:t>
      </w:r>
      <w:r w:rsidR="005466C3" w:rsidRPr="00E975CF">
        <w:rPr>
          <w:rFonts w:ascii="Arial" w:hAnsi="Arial" w:cs="Arial"/>
          <w:b/>
          <w:bCs/>
          <w:sz w:val="22"/>
          <w:szCs w:val="22"/>
        </w:rPr>
        <w:t>Pregão Eletrônico</w:t>
      </w:r>
      <w:r w:rsidR="000B23ED" w:rsidRPr="00E975CF">
        <w:rPr>
          <w:rFonts w:ascii="Arial" w:hAnsi="Arial" w:cs="Arial"/>
          <w:b/>
          <w:bCs/>
          <w:sz w:val="22"/>
          <w:szCs w:val="22"/>
        </w:rPr>
        <w:t xml:space="preserve"> </w:t>
      </w:r>
      <w:r w:rsidR="005466C3" w:rsidRPr="00E975CF">
        <w:rPr>
          <w:rFonts w:ascii="Arial" w:hAnsi="Arial" w:cs="Arial"/>
          <w:b/>
          <w:bCs/>
          <w:sz w:val="22"/>
          <w:szCs w:val="22"/>
        </w:rPr>
        <w:t xml:space="preserve">nº </w:t>
      </w:r>
      <w:r w:rsidR="00E975CF" w:rsidRPr="00E975CF">
        <w:rPr>
          <w:rFonts w:ascii="Arial" w:hAnsi="Arial" w:cs="Arial"/>
          <w:b/>
          <w:bCs/>
          <w:sz w:val="22"/>
          <w:szCs w:val="22"/>
        </w:rPr>
        <w:t>90.031/2024</w:t>
      </w:r>
      <w:r w:rsidRPr="00E975CF">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180997C2"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r w:rsidR="00E975CF" w:rsidRPr="00E975CF">
        <w:rPr>
          <w:rFonts w:ascii="Arial" w:eastAsiaTheme="majorEastAsia" w:hAnsi="Arial" w:cs="Arial"/>
          <w:b/>
          <w:bCs/>
          <w:lang w:val="pt-BR" w:eastAsia="pt-BR"/>
        </w:rPr>
        <w:t>contratação de empresa especializada para o serviço de ALUGUEL DE  CAMINHÕES, MÁQUINAS, TRATORES E EQUIPAMENTOS, para atender as necessidades das Secretarias de Infraestrutura e Logística, Obras e Serviços públicos, bem como as Subprefeituras</w:t>
      </w:r>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lastRenderedPageBreak/>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4FC4AB69" w:rsid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6F0C2EC" w14:textId="77777777" w:rsidR="00E975CF" w:rsidRPr="00266B10" w:rsidRDefault="00E975CF" w:rsidP="00E975CF">
      <w:pPr>
        <w:pStyle w:val="PargrafodaLista"/>
        <w:widowControl/>
        <w:tabs>
          <w:tab w:val="left" w:pos="426"/>
        </w:tabs>
        <w:autoSpaceDE/>
        <w:autoSpaceDN/>
        <w:spacing w:before="120" w:after="120" w:line="276" w:lineRule="auto"/>
        <w:ind w:left="0"/>
        <w:jc w:val="both"/>
        <w:rPr>
          <w:rFonts w:ascii="Arial" w:hAnsi="Arial" w:cs="Arial"/>
          <w:bCs/>
          <w:iCs/>
        </w:rPr>
      </w:pPr>
    </w:p>
    <w:p w14:paraId="0FC100CD" w14:textId="1452F0C0" w:rsidR="009C3548"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4CEAAEEB" w14:textId="6C4C4686" w:rsidR="005530E6" w:rsidRPr="00F262A1" w:rsidRDefault="005530E6" w:rsidP="00F262A1">
      <w:pPr>
        <w:pStyle w:val="PargrafodaLista"/>
        <w:numPr>
          <w:ilvl w:val="1"/>
          <w:numId w:val="2"/>
        </w:numPr>
        <w:tabs>
          <w:tab w:val="left" w:pos="0"/>
        </w:tabs>
        <w:spacing w:line="276" w:lineRule="auto"/>
        <w:ind w:left="0" w:firstLine="0"/>
        <w:jc w:val="both"/>
        <w:rPr>
          <w:rFonts w:ascii="Arial" w:hAnsi="Arial" w:cs="Arial"/>
          <w:b/>
          <w:iCs/>
        </w:rPr>
      </w:pPr>
      <w:r w:rsidRPr="00F262A1">
        <w:rPr>
          <w:rFonts w:ascii="Arial" w:hAnsi="Arial" w:cs="Arial"/>
          <w:b/>
          <w:iCs/>
        </w:rPr>
        <w:t>– MODELO DE EXECUÇÃO DO OBJETO</w:t>
      </w:r>
    </w:p>
    <w:p w14:paraId="49C7DE91" w14:textId="3FF2B043" w:rsidR="005530E6" w:rsidRPr="00F262A1" w:rsidRDefault="005530E6" w:rsidP="00F262A1">
      <w:pPr>
        <w:widowControl/>
        <w:tabs>
          <w:tab w:val="left" w:pos="0"/>
        </w:tabs>
        <w:suppressAutoHyphens/>
        <w:overflowPunct w:val="0"/>
        <w:autoSpaceDE/>
        <w:autoSpaceDN/>
        <w:spacing w:line="360" w:lineRule="auto"/>
        <w:contextualSpacing/>
        <w:jc w:val="both"/>
        <w:rPr>
          <w:rFonts w:ascii="Arial" w:hAnsi="Arial" w:cs="Arial"/>
          <w:bCs/>
          <w:iCs/>
        </w:rPr>
      </w:pPr>
      <w:r w:rsidRPr="00F262A1">
        <w:rPr>
          <w:rFonts w:ascii="Arial" w:hAnsi="Arial" w:cs="Arial"/>
          <w:bCs/>
          <w:iCs/>
        </w:rPr>
        <w:t>3.1.1 Os serviços a serem contratados deverão contemplar todos os itens necessários para seu pleno funcionamento</w:t>
      </w:r>
    </w:p>
    <w:p w14:paraId="13B22D7B" w14:textId="63B26BDF"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Após a assinatura do contrato a empresa vencedora do presente certame, em prazo máximo de 15 (quinze) dias corridos, deverá apresentar toda frota contratada pela municipalidade, bem como, documentação dos veículos, motoristas e operadores, necessários ao cumprimento do Código de Trânsito Brasileiro - CTB, para execução dos serviços e operação dos veículos.</w:t>
      </w:r>
    </w:p>
    <w:p w14:paraId="35878221"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Entende-se como documentação necessária para cumprimento do Código de Trânsito Brasileiro - CTB:</w:t>
      </w:r>
    </w:p>
    <w:p w14:paraId="2A97F98A"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Carteira Nacional de Habilitação - CNH dos motoristas e operadores com as devidas categorias e em validade;</w:t>
      </w:r>
    </w:p>
    <w:p w14:paraId="234CFCE6"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CRLV dos veículos vistoriado/licenciado no ano da contratação.</w:t>
      </w:r>
    </w:p>
    <w:p w14:paraId="5B8ECE42" w14:textId="03F12911"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 xml:space="preserve">A presente contratação deverá acompanhar a manutenção dos veículos; fornecimento de peças; seguro obrigatório; seguro, conforme descrito no subitem 4.1.5 </w:t>
      </w:r>
      <w:r w:rsidR="00D41493">
        <w:rPr>
          <w:rFonts w:ascii="Arial" w:hAnsi="Arial" w:cs="Arial"/>
          <w:bCs/>
          <w:iCs/>
        </w:rPr>
        <w:t xml:space="preserve">do Termo de Referência </w:t>
      </w:r>
      <w:r w:rsidRPr="00F262A1">
        <w:rPr>
          <w:rFonts w:ascii="Arial" w:hAnsi="Arial" w:cs="Arial"/>
          <w:bCs/>
          <w:iCs/>
        </w:rPr>
        <w:t>e combustível.</w:t>
      </w:r>
    </w:p>
    <w:p w14:paraId="108B977E"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É indispensável o funcionamento dos hodômetros e dos horímetros dos equipamentos.</w:t>
      </w:r>
    </w:p>
    <w:p w14:paraId="563F6442"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lastRenderedPageBreak/>
        <w:t xml:space="preserve">O prazo para início dos serviços será de 48 (quarenta e oito) horas a partir da emissão da Ordem de Serviço a ser enviada pela Secretaria responsável pela execução. </w:t>
      </w:r>
    </w:p>
    <w:p w14:paraId="58F62D9D"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 prazo que versa o item anterior poderá ser prorrogado a critério da CONTRATANTE, desde que, devidamente justificado pela CONTRATADA.</w:t>
      </w:r>
    </w:p>
    <w:p w14:paraId="7740C09D"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 prazo prorrogado no subitem anterior não poderá ultrapassar o período de 48 (quarenta e oito) horas do prazo de início dos serviços.</w:t>
      </w:r>
    </w:p>
    <w:p w14:paraId="0A2A4C69"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Os veículos deverão conter adesivos de identificação nas portas laterais e/ou em qualquer local dos equipamentos (máquinas e tratores), de forma visível e destacada com a logo da Prefeitura Municipal de Nova Friburgo com os dizeres: “A SERVIÇO DA PREFEITURA MUNICIPAL DE NOVA FRIBURGO”.</w:t>
      </w:r>
    </w:p>
    <w:p w14:paraId="13C217E9" w14:textId="2E060EF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 xml:space="preserve">Caso os veículos/máquinas/equipamentos sejam usados pela contratada em outros trabalhos estranhos ao uso da municipalidade, ou em contratos com terceiros, fica a contratada proibida de usar as informações de que versam o subitem </w:t>
      </w:r>
      <w:r w:rsidR="001F0B5B">
        <w:rPr>
          <w:rFonts w:ascii="Arial" w:hAnsi="Arial" w:cs="Arial"/>
          <w:bCs/>
          <w:iCs/>
        </w:rPr>
        <w:t>3.1.</w:t>
      </w:r>
      <w:r w:rsidR="006C060A">
        <w:rPr>
          <w:rFonts w:ascii="Arial" w:hAnsi="Arial" w:cs="Arial"/>
          <w:bCs/>
          <w:iCs/>
        </w:rPr>
        <w:t>5</w:t>
      </w:r>
      <w:r w:rsidRPr="00F262A1">
        <w:rPr>
          <w:rFonts w:ascii="Arial" w:hAnsi="Arial" w:cs="Arial"/>
          <w:bCs/>
          <w:iCs/>
        </w:rPr>
        <w:t>.</w:t>
      </w:r>
    </w:p>
    <w:p w14:paraId="181C0F3A" w14:textId="587324B3"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Os motoristas/operadores, juntamente com um servidor destinado pela secretaria de origem, manterão devidamente preenchido diário de bordo (planilha de acompanhamento), a ser  disponibilizado pela secretaria responsável pela realização do serviço.</w:t>
      </w:r>
    </w:p>
    <w:p w14:paraId="0780E5C9"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 Diário de Bordo (planilha de acompanhamento), deverá conter: horário de início e término diário da Prestação de serviços; data; local; hodômetro; horímetro; placa do veículo ou número de identificação e demais observações necessárias, para fins de fiscalização e cálculo de horas em que o equipamento ficou à disposição da municipalidade;</w:t>
      </w:r>
    </w:p>
    <w:p w14:paraId="76FC0EF5"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Ficará a cargo do servidor a conferência das informações anotadas, sendo o mesmo responsável pelos dados contidos no diário de bordo;</w:t>
      </w:r>
    </w:p>
    <w:p w14:paraId="3ED6BD06"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Após conferência, o servidor e o motorista/operador, assinarão os diários de bordo.</w:t>
      </w:r>
    </w:p>
    <w:p w14:paraId="4F1E57EF" w14:textId="1403C4E2"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Em caso de quebra, avaria ou qualquer outro advento que impeça o veículo/equipamento de funcionar a CONTRATADA deverá seguir as seguintes determinações:</w:t>
      </w:r>
    </w:p>
    <w:p w14:paraId="5A2053F9"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Comunicar o fiscal do contrato o problema ocorrido no veículo/equipamento e qual solução será tomada para a resolver o problema em até 12 (doze) horas;</w:t>
      </w:r>
    </w:p>
    <w:p w14:paraId="254263BB"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Após a comunicação, caso o veículo/equipamento fique mais de 5 (cinco) dias corridos na oficina para reparo, a CONTRATADA deverá disponibilizar outro veículo/equipamento com as mesmas características do veículo/equipamento danificado, em até 48 (quarenta e oito) horas.</w:t>
      </w:r>
    </w:p>
    <w:p w14:paraId="7EF8C277" w14:textId="55F2DA70"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lastRenderedPageBreak/>
        <w:t xml:space="preserve">O não cumprimento do subitem </w:t>
      </w:r>
      <w:r w:rsidR="00F66E26">
        <w:rPr>
          <w:rFonts w:ascii="Arial" w:hAnsi="Arial" w:cs="Arial"/>
          <w:bCs/>
          <w:iCs/>
        </w:rPr>
        <w:t>3.1.1</w:t>
      </w:r>
      <w:r w:rsidR="00702AFA">
        <w:rPr>
          <w:rFonts w:ascii="Arial" w:hAnsi="Arial" w:cs="Arial"/>
          <w:bCs/>
          <w:iCs/>
        </w:rPr>
        <w:t>2</w:t>
      </w:r>
      <w:r w:rsidRPr="00F262A1">
        <w:rPr>
          <w:rFonts w:ascii="Arial" w:hAnsi="Arial" w:cs="Arial"/>
          <w:bCs/>
          <w:iCs/>
        </w:rPr>
        <w:t xml:space="preserve"> acarretará em advertência, multa ou até mesmo no cancelamento do contrato.</w:t>
      </w:r>
    </w:p>
    <w:p w14:paraId="28493EA7" w14:textId="108BDFF0"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No caso da ocorrência de apreensão do veículo, as despesas decorrentes da retirada, guincho e outras, correrão por conta da CONTRATADA</w:t>
      </w:r>
    </w:p>
    <w:p w14:paraId="1CF5440B" w14:textId="7A9DFF7D"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A CONTRATADA deverá arcar com todas as despesas referente a vale-transporte, vale-alimentação, encargos sociais, uniformes completos que incluem EPIs, ferramental básico e todos os insumos necessários para desempenho dos seus colaboradores.</w:t>
      </w:r>
    </w:p>
    <w:p w14:paraId="08401664"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Todos os profissionais que forem contratados junto à locação dos equipamentos, deverão receber uniformes completos que incluem EPI, ferramental básico e todos os insumos necessários para o bom desempenho das funções.</w:t>
      </w:r>
    </w:p>
    <w:p w14:paraId="1DA7BD3E" w14:textId="00093EC9"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A CONTRATADA pestará o serviço de acordo com todas as Leis Federais, Estaduais e Municipais, bem como, relugamentações dos órgãos fiscalizatórios.</w:t>
      </w:r>
    </w:p>
    <w:p w14:paraId="4713AEDE" w14:textId="095D00D7"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DOS DIAS E HORÁRIOS DA PRESTAÇÃO DO SERVIÇO:</w:t>
      </w:r>
    </w:p>
    <w:p w14:paraId="59284F17"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Os veículos poderão ser utilizados em dias úteis, no horário compreendido entre 07h e 18h:</w:t>
      </w:r>
    </w:p>
    <w:p w14:paraId="7A6F1A64"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A empresa prestará o serviço de acordo com o horário de funcionamento de cada órgão, tais quais, administrações de bairro, subprefeituras e demais setores subordinados as secretarias requerentes do presente objeto.</w:t>
      </w:r>
    </w:p>
    <w:p w14:paraId="135463E5"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Excepcionalmente, os equipamentos poderão ficar à disposição do Município, em finais de semanas e feriados, bem como em períodos noturnos, em casos de calamidade, ou em casos que a administração municipal julgue necessário, desde que devidamente justificados.</w:t>
      </w:r>
    </w:p>
    <w:p w14:paraId="2788FB85" w14:textId="1D684288"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 xml:space="preserve">Em situações em que a administração municipal requerer os equipamentos no que diz o subitem </w:t>
      </w:r>
      <w:r w:rsidR="00491F0F">
        <w:rPr>
          <w:rFonts w:ascii="Arial" w:hAnsi="Arial" w:cs="Arial"/>
          <w:bCs/>
          <w:iCs/>
        </w:rPr>
        <w:t>3.1.19.2</w:t>
      </w:r>
      <w:r w:rsidRPr="00F262A1">
        <w:rPr>
          <w:rFonts w:ascii="Arial" w:hAnsi="Arial" w:cs="Arial"/>
          <w:bCs/>
          <w:iCs/>
        </w:rPr>
        <w:t>, a empresa vencedora deverá:</w:t>
      </w:r>
    </w:p>
    <w:p w14:paraId="4D25E10D"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Deixar de sobreaviso um número de motoristas/operadores e de equipamentos para atender a municipalidade;</w:t>
      </w:r>
    </w:p>
    <w:p w14:paraId="4137915B"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A CONTRATANTE deverá comunicar a CONTRATADA com antecedência a quantidade de motorista/operadores e equipamentos ficarão de sobreaviso;</w:t>
      </w:r>
    </w:p>
    <w:p w14:paraId="0BD01D8A"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A medição das horas dos equipamentos e motoristas/operadores que estiverem em sobreaviso se dará da seguinte maneira:</w:t>
      </w:r>
    </w:p>
    <w:p w14:paraId="4A09E391"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 período em que os equipamentos e motoristas/operadores estiverem de sobreaviso, a marcação da planílha se dará nas horas improdutivas.</w:t>
      </w:r>
    </w:p>
    <w:p w14:paraId="786C007F"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lastRenderedPageBreak/>
        <w:t>O período em que os equipamentos e motoristas/operadores estiverem a campo trabalhando, a marcação das planílhas de dará nas horas produtivas</w:t>
      </w:r>
    </w:p>
    <w:p w14:paraId="625C0BA2"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Os períodos em que equipamentos estiverem parados por motivos climáticos (chuva), a medição se dará nas horas improdutivas;</w:t>
      </w:r>
    </w:p>
    <w:p w14:paraId="00373DAB"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Se um equipamento quebrar e paralisar todos os serviços, todos os equipamentos locados, inclusive o equipamento quebrado, a administração pública ficará isento de marcação das planilhas e do pagamento.</w:t>
      </w:r>
    </w:p>
    <w:p w14:paraId="6245673E" w14:textId="77777777" w:rsidR="005530E6" w:rsidRPr="00F262A1" w:rsidRDefault="005530E6" w:rsidP="00F262A1">
      <w:pPr>
        <w:pStyle w:val="PargrafodaLista"/>
        <w:widowControl/>
        <w:numPr>
          <w:ilvl w:val="2"/>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A empresa venvedora do certame deverá disponibilizar um local (terreno, galpão), de fácil acesso, para ser a base dos equipamentos contratados pela municipalidade.</w:t>
      </w:r>
    </w:p>
    <w:p w14:paraId="1B96901E"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Em caso de os equipamentos estiverem operando em localidades distantes, os mesmos poderão pernoitar em imóveis públicos (subprefeituras, escolas, postos d saude), para segurança do bem e para agilidade na locomoção, desde que autorizado pelo responsável.</w:t>
      </w:r>
    </w:p>
    <w:p w14:paraId="7A23818C" w14:textId="5AAD7654"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 xml:space="preserve">Nos casos decorrentes do subitem </w:t>
      </w:r>
      <w:r w:rsidR="00E11B21">
        <w:rPr>
          <w:rFonts w:ascii="Arial" w:hAnsi="Arial" w:cs="Arial"/>
          <w:bCs/>
          <w:iCs/>
        </w:rPr>
        <w:t>3.1.2</w:t>
      </w:r>
      <w:r w:rsidR="000F5D11">
        <w:rPr>
          <w:rFonts w:ascii="Arial" w:hAnsi="Arial" w:cs="Arial"/>
          <w:bCs/>
          <w:iCs/>
        </w:rPr>
        <w:t>4</w:t>
      </w:r>
      <w:r w:rsidR="00E11B21">
        <w:rPr>
          <w:rFonts w:ascii="Arial" w:hAnsi="Arial" w:cs="Arial"/>
          <w:bCs/>
          <w:iCs/>
        </w:rPr>
        <w:t>.1</w:t>
      </w:r>
      <w:r w:rsidRPr="00F262A1">
        <w:rPr>
          <w:rFonts w:ascii="Arial" w:hAnsi="Arial" w:cs="Arial"/>
          <w:bCs/>
          <w:iCs/>
        </w:rPr>
        <w:t>, o município ficará isento de quaisquer adventos, avarias, danos, roubos etc, que sobrevier sobre os equipamentos da CONTRATADA.</w:t>
      </w:r>
    </w:p>
    <w:p w14:paraId="3F2DCFF8" w14:textId="33580C85" w:rsidR="005530E6" w:rsidRPr="00F262A1" w:rsidRDefault="005530E6" w:rsidP="00F262A1">
      <w:pPr>
        <w:pStyle w:val="PargrafodaLista"/>
        <w:widowControl/>
        <w:numPr>
          <w:ilvl w:val="2"/>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LOCAIS DE PRESTAÇÃO DOS SERVIÇOS:</w:t>
      </w:r>
    </w:p>
    <w:p w14:paraId="5B903D86" w14:textId="1AFE3E08" w:rsidR="005530E6" w:rsidRPr="00F262A1" w:rsidRDefault="005530E6" w:rsidP="00F262A1">
      <w:pPr>
        <w:pStyle w:val="PargrafodaLista"/>
        <w:widowControl/>
        <w:numPr>
          <w:ilvl w:val="3"/>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A prestação do serviço se dará em todo o território geográfico do Município de Nova Friburgo.</w:t>
      </w:r>
    </w:p>
    <w:p w14:paraId="4795351E" w14:textId="2603D3B2" w:rsidR="005530E6" w:rsidRPr="00F262A1" w:rsidRDefault="005530E6" w:rsidP="00F262A1">
      <w:pPr>
        <w:pStyle w:val="PargrafodaLista"/>
        <w:widowControl/>
        <w:numPr>
          <w:ilvl w:val="3"/>
          <w:numId w:val="11"/>
        </w:numPr>
        <w:tabs>
          <w:tab w:val="left" w:pos="0"/>
        </w:tabs>
        <w:suppressAutoHyphens/>
        <w:overflowPunct w:val="0"/>
        <w:autoSpaceDE/>
        <w:autoSpaceDN/>
        <w:spacing w:line="360" w:lineRule="auto"/>
        <w:ind w:left="0" w:firstLine="0"/>
        <w:contextualSpacing/>
        <w:jc w:val="both"/>
        <w:rPr>
          <w:rFonts w:ascii="Arial" w:hAnsi="Arial" w:cs="Arial"/>
          <w:bCs/>
          <w:iCs/>
        </w:rPr>
      </w:pPr>
      <w:r w:rsidRPr="00F262A1">
        <w:rPr>
          <w:rFonts w:ascii="Arial" w:hAnsi="Arial" w:cs="Arial"/>
          <w:bCs/>
          <w:iCs/>
        </w:rPr>
        <w:t>Excepcionalmente, desde que devidamente justificado, os veículos poderão sair dos limites do município de Nova Friburgo, previamente autorizados pela Secretaria responsável, estritamente para atendimento a demanda de interesse do município, vedada a utilização para fins particulares ou por terceiros.</w:t>
      </w:r>
    </w:p>
    <w:p w14:paraId="422387E8" w14:textId="77777777"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No caso de necessidade de deslocamento para outros municípios, os mesmos serão prestados dentro do mesmo valor estipulado na licitação, sem ônus para o município.</w:t>
      </w:r>
    </w:p>
    <w:p w14:paraId="6821981C" w14:textId="20A7682C" w:rsidR="005530E6" w:rsidRPr="00F262A1" w:rsidRDefault="005530E6" w:rsidP="00F262A1">
      <w:pPr>
        <w:pStyle w:val="PargrafodaLista"/>
        <w:widowControl/>
        <w:numPr>
          <w:ilvl w:val="3"/>
          <w:numId w:val="11"/>
        </w:numPr>
        <w:tabs>
          <w:tab w:val="left" w:pos="0"/>
        </w:tabs>
        <w:suppressAutoHyphens/>
        <w:overflowPunct w:val="0"/>
        <w:autoSpaceDE/>
        <w:autoSpaceDN/>
        <w:spacing w:before="0" w:line="360" w:lineRule="auto"/>
        <w:ind w:left="0" w:firstLine="0"/>
        <w:contextualSpacing/>
        <w:jc w:val="both"/>
        <w:rPr>
          <w:rFonts w:ascii="Arial" w:hAnsi="Arial" w:cs="Arial"/>
          <w:bCs/>
          <w:iCs/>
        </w:rPr>
      </w:pPr>
      <w:r w:rsidRPr="00F262A1">
        <w:rPr>
          <w:rFonts w:ascii="Arial" w:hAnsi="Arial" w:cs="Arial"/>
          <w:bCs/>
          <w:iCs/>
        </w:rPr>
        <w:t>Caso esse deslocamento para outro município seja em área de pedágio, o pagamento ocorrerá as espessas da contratada.</w:t>
      </w:r>
    </w:p>
    <w:p w14:paraId="515419D4" w14:textId="454E384E" w:rsidR="005530E6" w:rsidRPr="00F262A1" w:rsidRDefault="005530E6" w:rsidP="00F262A1">
      <w:pPr>
        <w:pStyle w:val="PargrafodaLista"/>
        <w:widowControl/>
        <w:numPr>
          <w:ilvl w:val="1"/>
          <w:numId w:val="11"/>
        </w:numPr>
        <w:tabs>
          <w:tab w:val="left" w:pos="0"/>
        </w:tabs>
        <w:suppressAutoHyphens/>
        <w:overflowPunct w:val="0"/>
        <w:autoSpaceDE/>
        <w:autoSpaceDN/>
        <w:spacing w:line="360" w:lineRule="auto"/>
        <w:ind w:left="0" w:firstLine="0"/>
        <w:contextualSpacing/>
        <w:jc w:val="both"/>
        <w:rPr>
          <w:rFonts w:ascii="Arial" w:hAnsi="Arial" w:cs="Arial"/>
          <w:b/>
          <w:iCs/>
        </w:rPr>
      </w:pPr>
      <w:r w:rsidRPr="00F262A1">
        <w:rPr>
          <w:rFonts w:ascii="Arial" w:hAnsi="Arial" w:cs="Arial"/>
          <w:b/>
          <w:iCs/>
        </w:rPr>
        <w:t>MODELO DE GESTÃO DO CONTRATO</w:t>
      </w:r>
    </w:p>
    <w:p w14:paraId="69A1A10F" w14:textId="6212FA2B" w:rsidR="005530E6" w:rsidRPr="00F262A1" w:rsidRDefault="005530E6" w:rsidP="00F262A1">
      <w:pPr>
        <w:pStyle w:val="Nivel2"/>
        <w:tabs>
          <w:tab w:val="left" w:pos="0"/>
        </w:tabs>
        <w:suppressAutoHyphens/>
        <w:spacing w:before="0" w:after="0" w:line="360" w:lineRule="auto"/>
        <w:rPr>
          <w:rFonts w:eastAsia="Verdana"/>
          <w:bCs/>
          <w:iCs/>
          <w:color w:val="auto"/>
          <w:sz w:val="22"/>
          <w:szCs w:val="22"/>
          <w:lang w:val="pt-PT" w:eastAsia="en-US"/>
        </w:rPr>
      </w:pPr>
      <w:r w:rsidRPr="00F262A1">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w:t>
      </w:r>
    </w:p>
    <w:p w14:paraId="78ACAA97" w14:textId="3FF06EBE"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bookmarkStart w:id="3" w:name="art115§1"/>
      <w:bookmarkStart w:id="4" w:name="art115§5"/>
      <w:bookmarkEnd w:id="3"/>
      <w:bookmarkEnd w:id="4"/>
      <w:r w:rsidRPr="00F262A1">
        <w:rPr>
          <w:rFonts w:eastAsia="Verdana"/>
          <w:bCs/>
          <w:iCs/>
          <w:color w:val="auto"/>
          <w:sz w:val="22"/>
          <w:szCs w:val="22"/>
          <w:lang w:val="pt-PT" w:eastAsia="en-US"/>
        </w:rPr>
        <w:lastRenderedPageBreak/>
        <w:t>Em caso de impedimento, ordem de paralisação ou suspensão do contrato, o cronograma de execução será prorrogado automaticamente pelo tempo correspondente, anotadas tais circunstâncias mediante simples apostila.</w:t>
      </w:r>
    </w:p>
    <w:p w14:paraId="13196383" w14:textId="667D195D"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A execução do contrato deverá ser acompanhada e fiscalizada pelo(s) fiscal(is) do contrato, ou pelos respectivos substitutos</w:t>
      </w:r>
    </w:p>
    <w:p w14:paraId="500B476B" w14:textId="77777777"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5BBFC1DD" w14:textId="77777777"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w:t>
      </w:r>
    </w:p>
    <w:p w14:paraId="667D2E00" w14:textId="77777777"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w:t>
      </w:r>
    </w:p>
    <w:p w14:paraId="6B5A935C" w14:textId="37C2C71E"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bookmarkStart w:id="5" w:name="art120"/>
      <w:bookmarkEnd w:id="5"/>
      <w:r w:rsidRPr="00F262A1">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w:t>
      </w:r>
    </w:p>
    <w:p w14:paraId="0CD416B4" w14:textId="02C4BFEE"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bookmarkStart w:id="6" w:name="art121"/>
      <w:bookmarkEnd w:id="6"/>
      <w:r w:rsidRPr="00F262A1">
        <w:rPr>
          <w:rFonts w:eastAsia="Verdana"/>
          <w:bCs/>
          <w:iCs/>
          <w:color w:val="auto"/>
          <w:sz w:val="22"/>
          <w:szCs w:val="22"/>
          <w:lang w:val="pt-PT" w:eastAsia="en-US"/>
        </w:rPr>
        <w:t>Somente o contratado será responsável pelos encargos trabalhistas, previdenciários, fiscais e comerciais resultantes da execução do contrato.</w:t>
      </w:r>
    </w:p>
    <w:p w14:paraId="3F77A89E" w14:textId="6B9630E6" w:rsidR="005530E6" w:rsidRPr="00F262A1" w:rsidRDefault="005530E6" w:rsidP="00F262A1">
      <w:pPr>
        <w:pStyle w:val="Nivel3"/>
        <w:numPr>
          <w:ilvl w:val="2"/>
          <w:numId w:val="11"/>
        </w:numPr>
        <w:tabs>
          <w:tab w:val="left" w:pos="0"/>
          <w:tab w:val="left" w:pos="360"/>
        </w:tabs>
        <w:suppressAutoHyphens/>
        <w:spacing w:before="0" w:after="0" w:line="360" w:lineRule="auto"/>
        <w:ind w:left="0" w:firstLine="0"/>
        <w:contextualSpacing/>
        <w:rPr>
          <w:rFonts w:eastAsia="Verdana"/>
          <w:bCs/>
          <w:iCs/>
          <w:color w:val="auto"/>
          <w:sz w:val="22"/>
          <w:szCs w:val="22"/>
          <w:lang w:val="pt-PT" w:eastAsia="en-US"/>
        </w:rPr>
      </w:pPr>
      <w:bookmarkStart w:id="7" w:name="art121§1"/>
      <w:bookmarkEnd w:id="7"/>
      <w:r w:rsidRPr="00F262A1">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w:t>
      </w:r>
    </w:p>
    <w:p w14:paraId="6C8C9C33" w14:textId="68E36142"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bookmarkStart w:id="8" w:name="art122"/>
      <w:bookmarkStart w:id="9" w:name="art122§3"/>
      <w:bookmarkStart w:id="10" w:name="art123"/>
      <w:bookmarkStart w:id="11" w:name="art122§1"/>
      <w:bookmarkStart w:id="12" w:name="art122§2"/>
      <w:bookmarkEnd w:id="8"/>
      <w:bookmarkEnd w:id="9"/>
      <w:bookmarkEnd w:id="10"/>
      <w:bookmarkEnd w:id="11"/>
      <w:bookmarkEnd w:id="12"/>
      <w:r w:rsidRPr="00F262A1">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69513275" w14:textId="034601C1"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O órgão ou entidade poderá convocar representante da empresa para adoção de providências que devam ser cumpridas de imediato.</w:t>
      </w:r>
    </w:p>
    <w:p w14:paraId="6B099BED" w14:textId="61D707ED"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AAFC2BD" w14:textId="5DB44B1F"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lastRenderedPageBreak/>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73CEBF5F" w14:textId="4E7A7EF2" w:rsidR="005530E6" w:rsidRPr="00F262A1" w:rsidRDefault="005530E6" w:rsidP="00F262A1">
      <w:pPr>
        <w:pStyle w:val="Nivel2"/>
        <w:numPr>
          <w:ilvl w:val="2"/>
          <w:numId w:val="11"/>
        </w:numPr>
        <w:tabs>
          <w:tab w:val="left" w:pos="0"/>
        </w:tabs>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Para o acompanhamento e fiscalização da execução do presente contrato, ficam designados(as) os(as) agentes públicos(as) abaixo informado(as):</w:t>
      </w:r>
    </w:p>
    <w:tbl>
      <w:tblPr>
        <w:tblStyle w:val="Tabelacomgrade"/>
        <w:tblW w:w="9072" w:type="dxa"/>
        <w:tblCellMar>
          <w:left w:w="113" w:type="dxa"/>
        </w:tblCellMar>
        <w:tblLook w:val="04A0" w:firstRow="1" w:lastRow="0" w:firstColumn="1" w:lastColumn="0" w:noHBand="0" w:noVBand="1"/>
      </w:tblPr>
      <w:tblGrid>
        <w:gridCol w:w="3749"/>
        <w:gridCol w:w="1714"/>
        <w:gridCol w:w="3609"/>
      </w:tblGrid>
      <w:tr w:rsidR="005530E6" w14:paraId="562BDF7C" w14:textId="77777777" w:rsidTr="00737BA9">
        <w:trPr>
          <w:trHeight w:val="383"/>
        </w:trPr>
        <w:tc>
          <w:tcPr>
            <w:tcW w:w="3749" w:type="dxa"/>
            <w:tcBorders>
              <w:left w:val="nil"/>
            </w:tcBorders>
            <w:shd w:val="clear" w:color="auto" w:fill="D8D8D8" w:themeFill="background1" w:themeFillShade="D8"/>
            <w:vAlign w:val="center"/>
          </w:tcPr>
          <w:p w14:paraId="5D90A33C" w14:textId="77777777" w:rsidR="005530E6" w:rsidRDefault="005530E6" w:rsidP="00EB12E9">
            <w:pPr>
              <w:pStyle w:val="PargrafodaLista"/>
              <w:ind w:left="0"/>
              <w:jc w:val="center"/>
              <w:rPr>
                <w:rFonts w:ascii="Times New Roman" w:hAnsi="Times New Roman" w:cs="Times New Roman"/>
                <w:b/>
                <w:bCs/>
                <w:color w:val="000000" w:themeColor="text1"/>
              </w:rPr>
            </w:pPr>
            <w:r>
              <w:rPr>
                <w:rFonts w:ascii="Times New Roman" w:hAnsi="Times New Roman" w:cs="Times New Roman"/>
                <w:b/>
                <w:bCs/>
                <w:color w:val="000000" w:themeColor="text1"/>
              </w:rPr>
              <w:t>NOME</w:t>
            </w:r>
          </w:p>
        </w:tc>
        <w:tc>
          <w:tcPr>
            <w:tcW w:w="1714" w:type="dxa"/>
            <w:shd w:val="clear" w:color="auto" w:fill="D8D8D8" w:themeFill="background1" w:themeFillShade="D8"/>
            <w:tcMar>
              <w:left w:w="108" w:type="dxa"/>
            </w:tcMar>
            <w:vAlign w:val="center"/>
          </w:tcPr>
          <w:p w14:paraId="10D31B3A" w14:textId="77777777" w:rsidR="005530E6" w:rsidRDefault="005530E6" w:rsidP="00EB12E9">
            <w:pPr>
              <w:pStyle w:val="PargrafodaLista"/>
              <w:ind w:left="0"/>
              <w:jc w:val="center"/>
              <w:rPr>
                <w:rFonts w:ascii="Times New Roman" w:hAnsi="Times New Roman" w:cs="Times New Roman"/>
                <w:b/>
                <w:bCs/>
                <w:color w:val="000000" w:themeColor="text1"/>
              </w:rPr>
            </w:pPr>
            <w:r>
              <w:rPr>
                <w:rFonts w:ascii="Times New Roman" w:hAnsi="Times New Roman" w:cs="Times New Roman"/>
                <w:b/>
                <w:bCs/>
                <w:color w:val="000000" w:themeColor="text1"/>
              </w:rPr>
              <w:t>MATRÍCULA</w:t>
            </w:r>
          </w:p>
        </w:tc>
        <w:tc>
          <w:tcPr>
            <w:tcW w:w="3609" w:type="dxa"/>
            <w:tcBorders>
              <w:right w:val="nil"/>
            </w:tcBorders>
            <w:shd w:val="clear" w:color="auto" w:fill="D8D8D8" w:themeFill="background1" w:themeFillShade="D8"/>
            <w:tcMar>
              <w:left w:w="108" w:type="dxa"/>
            </w:tcMar>
            <w:vAlign w:val="center"/>
          </w:tcPr>
          <w:p w14:paraId="0DC83F2A" w14:textId="77777777" w:rsidR="005530E6" w:rsidRDefault="005530E6" w:rsidP="00EB12E9">
            <w:pPr>
              <w:pStyle w:val="PargrafodaLista"/>
              <w:ind w:left="0"/>
              <w:jc w:val="center"/>
              <w:rPr>
                <w:rFonts w:ascii="Times New Roman" w:hAnsi="Times New Roman" w:cs="Times New Roman"/>
                <w:b/>
                <w:bCs/>
                <w:color w:val="000000" w:themeColor="text1"/>
              </w:rPr>
            </w:pPr>
            <w:r>
              <w:rPr>
                <w:rFonts w:ascii="Times New Roman" w:hAnsi="Times New Roman" w:cs="Times New Roman"/>
                <w:b/>
                <w:bCs/>
                <w:color w:val="000000" w:themeColor="text1"/>
              </w:rPr>
              <w:t>GESTOR / FISCAL</w:t>
            </w:r>
          </w:p>
        </w:tc>
      </w:tr>
      <w:tr w:rsidR="005530E6" w14:paraId="10A3DFFC" w14:textId="77777777" w:rsidTr="00737BA9">
        <w:tc>
          <w:tcPr>
            <w:tcW w:w="3749" w:type="dxa"/>
            <w:tcBorders>
              <w:left w:val="nil"/>
            </w:tcBorders>
            <w:shd w:val="clear" w:color="auto" w:fill="auto"/>
            <w:vAlign w:val="center"/>
          </w:tcPr>
          <w:p w14:paraId="6C297ED9"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Clayton Munier Coelho</w:t>
            </w:r>
          </w:p>
        </w:tc>
        <w:tc>
          <w:tcPr>
            <w:tcW w:w="1714" w:type="dxa"/>
            <w:shd w:val="clear" w:color="auto" w:fill="auto"/>
            <w:tcMar>
              <w:left w:w="108" w:type="dxa"/>
            </w:tcMar>
            <w:vAlign w:val="center"/>
          </w:tcPr>
          <w:p w14:paraId="0EF42CC4"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100.715</w:t>
            </w:r>
          </w:p>
        </w:tc>
        <w:tc>
          <w:tcPr>
            <w:tcW w:w="3609" w:type="dxa"/>
            <w:tcBorders>
              <w:right w:val="nil"/>
            </w:tcBorders>
            <w:shd w:val="clear" w:color="auto" w:fill="auto"/>
            <w:tcMar>
              <w:left w:w="108" w:type="dxa"/>
            </w:tcMar>
            <w:vAlign w:val="center"/>
          </w:tcPr>
          <w:p w14:paraId="48661E44"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Gestor titular Sec. Obras</w:t>
            </w:r>
          </w:p>
        </w:tc>
      </w:tr>
      <w:tr w:rsidR="005530E6" w14:paraId="51F9B0B4" w14:textId="77777777" w:rsidTr="00737BA9">
        <w:tc>
          <w:tcPr>
            <w:tcW w:w="3749" w:type="dxa"/>
            <w:tcBorders>
              <w:left w:val="nil"/>
            </w:tcBorders>
            <w:shd w:val="clear" w:color="auto" w:fill="auto"/>
            <w:vAlign w:val="center"/>
          </w:tcPr>
          <w:p w14:paraId="79D492BF"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Matheus Barcelos Pessanha Macedo</w:t>
            </w:r>
          </w:p>
        </w:tc>
        <w:tc>
          <w:tcPr>
            <w:tcW w:w="1714" w:type="dxa"/>
            <w:shd w:val="clear" w:color="auto" w:fill="auto"/>
            <w:tcMar>
              <w:left w:w="108" w:type="dxa"/>
            </w:tcMar>
            <w:vAlign w:val="center"/>
          </w:tcPr>
          <w:p w14:paraId="6B0E9F2C"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62.379</w:t>
            </w:r>
          </w:p>
        </w:tc>
        <w:tc>
          <w:tcPr>
            <w:tcW w:w="3609" w:type="dxa"/>
            <w:tcBorders>
              <w:right w:val="nil"/>
            </w:tcBorders>
            <w:shd w:val="clear" w:color="auto" w:fill="auto"/>
            <w:tcMar>
              <w:left w:w="108" w:type="dxa"/>
            </w:tcMar>
            <w:vAlign w:val="center"/>
          </w:tcPr>
          <w:p w14:paraId="2AFD4981"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Gestor substituto Sec. Obras</w:t>
            </w:r>
          </w:p>
        </w:tc>
      </w:tr>
      <w:tr w:rsidR="005530E6" w14:paraId="2BDEA9C3" w14:textId="77777777" w:rsidTr="00737BA9">
        <w:tc>
          <w:tcPr>
            <w:tcW w:w="3749" w:type="dxa"/>
            <w:tcBorders>
              <w:left w:val="nil"/>
            </w:tcBorders>
            <w:shd w:val="clear" w:color="auto" w:fill="auto"/>
            <w:vAlign w:val="center"/>
          </w:tcPr>
          <w:p w14:paraId="72FCD73C"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Jeferson Pires Aragão</w:t>
            </w:r>
          </w:p>
        </w:tc>
        <w:tc>
          <w:tcPr>
            <w:tcW w:w="1714" w:type="dxa"/>
            <w:shd w:val="clear" w:color="auto" w:fill="auto"/>
            <w:tcMar>
              <w:left w:w="108" w:type="dxa"/>
            </w:tcMar>
            <w:vAlign w:val="center"/>
          </w:tcPr>
          <w:p w14:paraId="68D9FD93"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62.039</w:t>
            </w:r>
          </w:p>
        </w:tc>
        <w:tc>
          <w:tcPr>
            <w:tcW w:w="3609" w:type="dxa"/>
            <w:tcBorders>
              <w:right w:val="nil"/>
            </w:tcBorders>
            <w:shd w:val="clear" w:color="auto" w:fill="auto"/>
            <w:tcMar>
              <w:left w:w="108" w:type="dxa"/>
            </w:tcMar>
            <w:vAlign w:val="center"/>
          </w:tcPr>
          <w:p w14:paraId="0DE1D615"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Fiscal titular Sec. Obras</w:t>
            </w:r>
          </w:p>
        </w:tc>
      </w:tr>
      <w:tr w:rsidR="005530E6" w14:paraId="6B2B039E" w14:textId="77777777" w:rsidTr="00737BA9">
        <w:tc>
          <w:tcPr>
            <w:tcW w:w="3749" w:type="dxa"/>
            <w:tcBorders>
              <w:left w:val="nil"/>
            </w:tcBorders>
            <w:shd w:val="clear" w:color="auto" w:fill="auto"/>
            <w:vAlign w:val="center"/>
          </w:tcPr>
          <w:p w14:paraId="18237848"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Junior da Silva dos Santos</w:t>
            </w:r>
          </w:p>
        </w:tc>
        <w:tc>
          <w:tcPr>
            <w:tcW w:w="1714" w:type="dxa"/>
            <w:shd w:val="clear" w:color="auto" w:fill="auto"/>
            <w:tcMar>
              <w:left w:w="108" w:type="dxa"/>
            </w:tcMar>
            <w:vAlign w:val="center"/>
          </w:tcPr>
          <w:p w14:paraId="23CA1EDA"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100.644</w:t>
            </w:r>
          </w:p>
        </w:tc>
        <w:tc>
          <w:tcPr>
            <w:tcW w:w="3609" w:type="dxa"/>
            <w:tcBorders>
              <w:right w:val="nil"/>
            </w:tcBorders>
            <w:shd w:val="clear" w:color="auto" w:fill="auto"/>
            <w:tcMar>
              <w:left w:w="108" w:type="dxa"/>
            </w:tcMar>
            <w:vAlign w:val="center"/>
          </w:tcPr>
          <w:p w14:paraId="1C0E499E"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Fiscal Substituto Sec. Obras</w:t>
            </w:r>
          </w:p>
        </w:tc>
      </w:tr>
      <w:tr w:rsidR="005530E6" w14:paraId="428E61D3" w14:textId="77777777" w:rsidTr="00737BA9">
        <w:tc>
          <w:tcPr>
            <w:tcW w:w="3749" w:type="dxa"/>
            <w:tcBorders>
              <w:left w:val="nil"/>
            </w:tcBorders>
            <w:shd w:val="clear" w:color="auto" w:fill="auto"/>
            <w:vAlign w:val="center"/>
          </w:tcPr>
          <w:p w14:paraId="6C36C0B4"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 xml:space="preserve">Guilherme Elias Martins </w:t>
            </w:r>
          </w:p>
        </w:tc>
        <w:tc>
          <w:tcPr>
            <w:tcW w:w="1714" w:type="dxa"/>
            <w:shd w:val="clear" w:color="auto" w:fill="auto"/>
            <w:tcMar>
              <w:left w:w="108" w:type="dxa"/>
            </w:tcMar>
            <w:vAlign w:val="center"/>
          </w:tcPr>
          <w:p w14:paraId="0B8BA06C"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063.141</w:t>
            </w:r>
          </w:p>
        </w:tc>
        <w:tc>
          <w:tcPr>
            <w:tcW w:w="3609" w:type="dxa"/>
            <w:tcBorders>
              <w:right w:val="nil"/>
            </w:tcBorders>
            <w:shd w:val="clear" w:color="auto" w:fill="auto"/>
            <w:tcMar>
              <w:left w:w="108" w:type="dxa"/>
            </w:tcMar>
            <w:vAlign w:val="center"/>
          </w:tcPr>
          <w:p w14:paraId="0695F96C"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Fiscal Titular Sec. Serv. Públicos</w:t>
            </w:r>
          </w:p>
        </w:tc>
      </w:tr>
      <w:tr w:rsidR="005530E6" w14:paraId="1C65B71A" w14:textId="77777777" w:rsidTr="00737BA9">
        <w:tc>
          <w:tcPr>
            <w:tcW w:w="3749" w:type="dxa"/>
            <w:tcBorders>
              <w:left w:val="nil"/>
            </w:tcBorders>
            <w:shd w:val="clear" w:color="auto" w:fill="auto"/>
            <w:vAlign w:val="center"/>
          </w:tcPr>
          <w:p w14:paraId="6B4BC154"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Jackson Braga da Silveira</w:t>
            </w:r>
          </w:p>
        </w:tc>
        <w:tc>
          <w:tcPr>
            <w:tcW w:w="1714" w:type="dxa"/>
            <w:shd w:val="clear" w:color="auto" w:fill="auto"/>
            <w:tcMar>
              <w:left w:w="108" w:type="dxa"/>
            </w:tcMar>
            <w:vAlign w:val="center"/>
          </w:tcPr>
          <w:p w14:paraId="5444A003"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062.887</w:t>
            </w:r>
          </w:p>
        </w:tc>
        <w:tc>
          <w:tcPr>
            <w:tcW w:w="3609" w:type="dxa"/>
            <w:tcBorders>
              <w:right w:val="nil"/>
            </w:tcBorders>
            <w:shd w:val="clear" w:color="auto" w:fill="auto"/>
            <w:tcMar>
              <w:left w:w="108" w:type="dxa"/>
            </w:tcMar>
            <w:vAlign w:val="center"/>
          </w:tcPr>
          <w:p w14:paraId="67BB6D87"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Fiscal Substituto Sec. Serv. Públicos</w:t>
            </w:r>
          </w:p>
        </w:tc>
      </w:tr>
      <w:tr w:rsidR="005530E6" w14:paraId="44D4AC98" w14:textId="77777777" w:rsidTr="00737BA9">
        <w:tc>
          <w:tcPr>
            <w:tcW w:w="3749" w:type="dxa"/>
            <w:tcBorders>
              <w:left w:val="nil"/>
            </w:tcBorders>
            <w:shd w:val="clear" w:color="auto" w:fill="auto"/>
            <w:vAlign w:val="center"/>
          </w:tcPr>
          <w:p w14:paraId="052E18DF"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Alan F. Correa</w:t>
            </w:r>
          </w:p>
        </w:tc>
        <w:tc>
          <w:tcPr>
            <w:tcW w:w="1714" w:type="dxa"/>
            <w:shd w:val="clear" w:color="auto" w:fill="auto"/>
            <w:tcMar>
              <w:left w:w="108" w:type="dxa"/>
            </w:tcMar>
            <w:vAlign w:val="center"/>
          </w:tcPr>
          <w:p w14:paraId="547CCDDF"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105.871</w:t>
            </w:r>
          </w:p>
        </w:tc>
        <w:tc>
          <w:tcPr>
            <w:tcW w:w="3609" w:type="dxa"/>
            <w:tcBorders>
              <w:right w:val="nil"/>
            </w:tcBorders>
            <w:shd w:val="clear" w:color="auto" w:fill="auto"/>
            <w:tcMar>
              <w:left w:w="108" w:type="dxa"/>
            </w:tcMar>
            <w:vAlign w:val="center"/>
          </w:tcPr>
          <w:p w14:paraId="52F2B9F4"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Fiscal Titular Sec. Infraestrutura</w:t>
            </w:r>
          </w:p>
        </w:tc>
      </w:tr>
      <w:tr w:rsidR="005530E6" w14:paraId="1AE838B1" w14:textId="77777777" w:rsidTr="00737BA9">
        <w:tc>
          <w:tcPr>
            <w:tcW w:w="3749" w:type="dxa"/>
            <w:tcBorders>
              <w:left w:val="nil"/>
            </w:tcBorders>
            <w:shd w:val="clear" w:color="auto" w:fill="auto"/>
            <w:vAlign w:val="center"/>
          </w:tcPr>
          <w:p w14:paraId="2DEE0CBA" w14:textId="77777777" w:rsidR="005530E6" w:rsidRDefault="005530E6" w:rsidP="00EB12E9">
            <w:pPr>
              <w:pStyle w:val="PargrafodaLista"/>
              <w:overflowPunct w:val="0"/>
              <w:spacing w:line="360" w:lineRule="auto"/>
              <w:ind w:left="0"/>
              <w:jc w:val="both"/>
              <w:rPr>
                <w:rFonts w:ascii="Times New Roman" w:hAnsi="Times New Roman" w:cs="Times New Roman"/>
                <w:color w:val="00000A"/>
              </w:rPr>
            </w:pPr>
            <w:r>
              <w:rPr>
                <w:rFonts w:ascii="Times New Roman" w:hAnsi="Times New Roman"/>
                <w:color w:val="000000" w:themeColor="text1"/>
              </w:rPr>
              <w:t>Márcio André de Freitas Silva</w:t>
            </w:r>
          </w:p>
        </w:tc>
        <w:tc>
          <w:tcPr>
            <w:tcW w:w="1714" w:type="dxa"/>
            <w:shd w:val="clear" w:color="auto" w:fill="auto"/>
            <w:tcMar>
              <w:left w:w="108" w:type="dxa"/>
            </w:tcMar>
            <w:vAlign w:val="center"/>
          </w:tcPr>
          <w:p w14:paraId="206AF651"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olor w:val="000000" w:themeColor="text1"/>
              </w:rPr>
              <w:t>115.190</w:t>
            </w:r>
          </w:p>
        </w:tc>
        <w:tc>
          <w:tcPr>
            <w:tcW w:w="3609" w:type="dxa"/>
            <w:tcBorders>
              <w:right w:val="nil"/>
            </w:tcBorders>
            <w:shd w:val="clear" w:color="auto" w:fill="auto"/>
            <w:tcMar>
              <w:left w:w="108" w:type="dxa"/>
            </w:tcMar>
            <w:vAlign w:val="center"/>
          </w:tcPr>
          <w:p w14:paraId="4278447D" w14:textId="77777777" w:rsidR="005530E6" w:rsidRDefault="005530E6" w:rsidP="00EB12E9">
            <w:pPr>
              <w:pStyle w:val="PargrafodaLista"/>
              <w:overflowPunct w:val="0"/>
              <w:spacing w:line="360" w:lineRule="auto"/>
              <w:ind w:left="0"/>
              <w:jc w:val="center"/>
              <w:rPr>
                <w:rFonts w:ascii="Times New Roman" w:hAnsi="Times New Roman" w:cs="Times New Roman"/>
                <w:color w:val="00000A"/>
              </w:rPr>
            </w:pPr>
            <w:r>
              <w:rPr>
                <w:rFonts w:ascii="Times New Roman" w:hAnsi="Times New Roman" w:cs="Times New Roman"/>
                <w:color w:val="000000" w:themeColor="text1"/>
              </w:rPr>
              <w:t>Fiscal Substituto Sec. Infraestrutura</w:t>
            </w:r>
          </w:p>
        </w:tc>
      </w:tr>
    </w:tbl>
    <w:p w14:paraId="1B744C62" w14:textId="77777777" w:rsidR="00F262A1" w:rsidRDefault="00F262A1" w:rsidP="00F262A1">
      <w:pPr>
        <w:pStyle w:val="Nivel2"/>
        <w:suppressAutoHyphens/>
        <w:spacing w:before="0" w:after="0" w:line="360" w:lineRule="auto"/>
        <w:rPr>
          <w:rFonts w:eastAsia="Verdana"/>
          <w:bCs/>
          <w:iCs/>
          <w:color w:val="auto"/>
          <w:sz w:val="22"/>
          <w:szCs w:val="22"/>
          <w:lang w:val="pt-PT" w:eastAsia="en-US"/>
        </w:rPr>
      </w:pPr>
    </w:p>
    <w:p w14:paraId="59D3AA80" w14:textId="33353663"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2840E64A" w14:textId="2EE3AFE6"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5CCF6D0A" w14:textId="67BF59F5"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 xml:space="preserve">A verificação da adequação da prestação do serviço deverá ser realizada com base nos critérios previstos </w:t>
      </w:r>
      <w:r w:rsidR="000E7AEB">
        <w:rPr>
          <w:rFonts w:eastAsia="Verdana"/>
          <w:bCs/>
          <w:iCs/>
          <w:color w:val="auto"/>
          <w:sz w:val="22"/>
          <w:szCs w:val="22"/>
          <w:lang w:val="pt-PT" w:eastAsia="en-US"/>
        </w:rPr>
        <w:t>no</w:t>
      </w:r>
      <w:r w:rsidRPr="00F262A1">
        <w:rPr>
          <w:rFonts w:eastAsia="Verdana"/>
          <w:bCs/>
          <w:iCs/>
          <w:color w:val="auto"/>
          <w:sz w:val="22"/>
          <w:szCs w:val="22"/>
          <w:lang w:val="pt-PT" w:eastAsia="en-US"/>
        </w:rPr>
        <w:t xml:space="preserve"> Termo de Referência;</w:t>
      </w:r>
    </w:p>
    <w:p w14:paraId="1C96EF67" w14:textId="006FAA6F"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656B02EE" w14:textId="04B488D8"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lastRenderedPageBreak/>
        <w:t>Além das obrigações resultantes da aplicação da lei n° 14.133/21 e demais normas pertinentes, são obrigações da CONTRATANTE:</w:t>
      </w:r>
    </w:p>
    <w:p w14:paraId="555C4D5C" w14:textId="77777777"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Atestar as faturas/notas fiscais da CONTRATADA oriundas da realização  dos serviços licitados;</w:t>
      </w:r>
    </w:p>
    <w:p w14:paraId="5110A7A6" w14:textId="77777777"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Efetuar os pagamentos devidos, nos prazos estabelecidos, à CONTRATADA;</w:t>
      </w:r>
    </w:p>
    <w:p w14:paraId="06FC745C" w14:textId="77777777" w:rsidR="005530E6" w:rsidRPr="00F262A1"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Prestar as informações e os devidos esclarecimentos que venham a ser solicitados pela CONTRATADA;</w:t>
      </w:r>
    </w:p>
    <w:p w14:paraId="1E0893DD" w14:textId="67C4306B" w:rsidR="005530E6" w:rsidRDefault="005530E6" w:rsidP="00F262A1">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F262A1">
        <w:rPr>
          <w:rFonts w:eastAsia="Verdana"/>
          <w:bCs/>
          <w:iCs/>
          <w:color w:val="auto"/>
          <w:sz w:val="22"/>
          <w:szCs w:val="22"/>
          <w:lang w:val="pt-PT" w:eastAsia="en-US"/>
        </w:rPr>
        <w:t xml:space="preserve">Aplicar as penalidades constantes no item das Sanções Administrativas </w:t>
      </w:r>
      <w:r w:rsidR="00C25D97">
        <w:rPr>
          <w:rFonts w:eastAsia="Verdana"/>
          <w:bCs/>
          <w:iCs/>
          <w:color w:val="auto"/>
          <w:sz w:val="22"/>
          <w:szCs w:val="22"/>
          <w:lang w:val="pt-PT" w:eastAsia="en-US"/>
        </w:rPr>
        <w:t xml:space="preserve">previstas </w:t>
      </w:r>
      <w:r w:rsidR="00E901EC">
        <w:rPr>
          <w:rFonts w:eastAsia="Verdana"/>
          <w:bCs/>
          <w:iCs/>
          <w:color w:val="auto"/>
          <w:sz w:val="22"/>
          <w:szCs w:val="22"/>
          <w:lang w:val="pt-PT" w:eastAsia="en-US"/>
        </w:rPr>
        <w:t>no</w:t>
      </w:r>
      <w:r w:rsidRPr="00F262A1">
        <w:rPr>
          <w:rFonts w:eastAsia="Verdana"/>
          <w:bCs/>
          <w:iCs/>
          <w:color w:val="auto"/>
          <w:sz w:val="22"/>
          <w:szCs w:val="22"/>
          <w:lang w:val="pt-PT" w:eastAsia="en-US"/>
        </w:rPr>
        <w:t xml:space="preserve"> Termo de Referência, bem como instrumento editalício e Lei nº14.133/21, em caso de descumprimento de qualquer obrigação por parte da CONTRATADA.</w:t>
      </w:r>
    </w:p>
    <w:p w14:paraId="353F5D73" w14:textId="77777777" w:rsidR="00D41493" w:rsidRPr="00D41493" w:rsidRDefault="00D41493" w:rsidP="00D41493">
      <w:pPr>
        <w:pStyle w:val="PargrafodaLista"/>
        <w:widowControl/>
        <w:numPr>
          <w:ilvl w:val="1"/>
          <w:numId w:val="11"/>
        </w:numPr>
        <w:suppressAutoHyphens/>
        <w:autoSpaceDE/>
        <w:autoSpaceDN/>
        <w:spacing w:before="0" w:line="360" w:lineRule="auto"/>
        <w:ind w:left="0" w:firstLine="0"/>
        <w:jc w:val="both"/>
        <w:rPr>
          <w:rFonts w:ascii="Arial" w:hAnsi="Arial" w:cs="Arial"/>
          <w:b/>
          <w:iCs/>
        </w:rPr>
      </w:pPr>
      <w:r w:rsidRPr="00D41493">
        <w:rPr>
          <w:rFonts w:ascii="Arial" w:hAnsi="Arial" w:cs="Arial"/>
          <w:b/>
          <w:iCs/>
        </w:rPr>
        <w:t>DA CONTRATAÇÃO DE SEGURO</w:t>
      </w:r>
    </w:p>
    <w:p w14:paraId="23A2DB24" w14:textId="2DD35577" w:rsidR="00D41493" w:rsidRPr="00D41493" w:rsidRDefault="00D41493" w:rsidP="00D41493">
      <w:pPr>
        <w:pStyle w:val="PargrafodaLista"/>
        <w:widowControl/>
        <w:numPr>
          <w:ilvl w:val="2"/>
          <w:numId w:val="11"/>
        </w:numPr>
        <w:suppressAutoHyphens/>
        <w:autoSpaceDE/>
        <w:autoSpaceDN/>
        <w:spacing w:before="0" w:line="360" w:lineRule="auto"/>
        <w:ind w:left="0" w:firstLine="0"/>
        <w:jc w:val="both"/>
        <w:rPr>
          <w:rFonts w:ascii="Arial" w:hAnsi="Arial" w:cs="Arial"/>
          <w:bCs/>
          <w:iCs/>
        </w:rPr>
      </w:pPr>
      <w:r w:rsidRPr="00D41493">
        <w:rPr>
          <w:rFonts w:ascii="Arial" w:hAnsi="Arial" w:cs="Arial"/>
          <w:bCs/>
          <w:iCs/>
        </w:rPr>
        <w:t>A empresa vencedora do certame deverá apresentar na assinatura do contrato, documento que comprove contratação de empresa de seguro para todos os equipamentos contratados durante a vigência do contrato;</w:t>
      </w:r>
    </w:p>
    <w:p w14:paraId="39BDC573" w14:textId="23AEA3A3" w:rsidR="00D41493" w:rsidRPr="00D41493" w:rsidRDefault="00D41493" w:rsidP="00D41493">
      <w:pPr>
        <w:pStyle w:val="PargrafodaLista"/>
        <w:widowControl/>
        <w:numPr>
          <w:ilvl w:val="2"/>
          <w:numId w:val="11"/>
        </w:numPr>
        <w:suppressAutoHyphens/>
        <w:autoSpaceDE/>
        <w:autoSpaceDN/>
        <w:spacing w:before="0" w:line="360" w:lineRule="auto"/>
        <w:ind w:left="0" w:firstLine="0"/>
        <w:jc w:val="both"/>
        <w:rPr>
          <w:rFonts w:ascii="Arial" w:hAnsi="Arial" w:cs="Arial"/>
          <w:bCs/>
          <w:iCs/>
        </w:rPr>
      </w:pPr>
      <w:r w:rsidRPr="00D41493">
        <w:rPr>
          <w:rFonts w:ascii="Arial" w:hAnsi="Arial" w:cs="Arial"/>
          <w:bCs/>
          <w:iCs/>
        </w:rPr>
        <w:t>O contrato de seguro deverá cobrir as situações seguintes:</w:t>
      </w:r>
    </w:p>
    <w:p w14:paraId="404CB0A8" w14:textId="1F6A6425" w:rsidR="00D41493" w:rsidRPr="00D41493" w:rsidRDefault="00D41493" w:rsidP="00D41493">
      <w:pPr>
        <w:pStyle w:val="PargrafodaLista"/>
        <w:widowControl/>
        <w:numPr>
          <w:ilvl w:val="3"/>
          <w:numId w:val="11"/>
        </w:numPr>
        <w:suppressAutoHyphens/>
        <w:autoSpaceDE/>
        <w:autoSpaceDN/>
        <w:spacing w:before="0" w:line="360" w:lineRule="auto"/>
        <w:ind w:left="0" w:firstLine="0"/>
        <w:jc w:val="both"/>
        <w:rPr>
          <w:rFonts w:ascii="Arial" w:hAnsi="Arial" w:cs="Arial"/>
          <w:bCs/>
          <w:iCs/>
        </w:rPr>
      </w:pPr>
      <w:r w:rsidRPr="00D41493">
        <w:rPr>
          <w:rFonts w:ascii="Arial" w:hAnsi="Arial" w:cs="Arial"/>
          <w:bCs/>
          <w:iCs/>
        </w:rPr>
        <w:t>Segurar o motorista/operador de qualquer acidente que causar, internação, invalidez ou morte;</w:t>
      </w:r>
    </w:p>
    <w:p w14:paraId="5921FBBD" w14:textId="384456D2" w:rsidR="00D41493" w:rsidRPr="00D41493" w:rsidRDefault="00D41493" w:rsidP="00D41493">
      <w:pPr>
        <w:pStyle w:val="PargrafodaLista"/>
        <w:widowControl/>
        <w:numPr>
          <w:ilvl w:val="3"/>
          <w:numId w:val="11"/>
        </w:numPr>
        <w:suppressAutoHyphens/>
        <w:autoSpaceDE/>
        <w:autoSpaceDN/>
        <w:spacing w:before="0" w:line="360" w:lineRule="auto"/>
        <w:ind w:left="0" w:firstLine="0"/>
        <w:jc w:val="both"/>
        <w:rPr>
          <w:rFonts w:ascii="Arial" w:hAnsi="Arial" w:cs="Arial"/>
          <w:bCs/>
          <w:iCs/>
        </w:rPr>
      </w:pPr>
      <w:r w:rsidRPr="00D41493">
        <w:rPr>
          <w:rFonts w:ascii="Arial" w:hAnsi="Arial" w:cs="Arial"/>
          <w:bCs/>
          <w:iCs/>
        </w:rPr>
        <w:t>Segurar veículos de terceiros, bem como, quaisquer pessoas envolvidas no acidente que causar internação, invalidez ou morte;</w:t>
      </w:r>
    </w:p>
    <w:p w14:paraId="07C37248" w14:textId="1648A904" w:rsidR="00D41493" w:rsidRPr="00D41493" w:rsidRDefault="00D41493" w:rsidP="00D41493">
      <w:pPr>
        <w:pStyle w:val="PargrafodaLista"/>
        <w:widowControl/>
        <w:numPr>
          <w:ilvl w:val="3"/>
          <w:numId w:val="11"/>
        </w:numPr>
        <w:suppressAutoHyphens/>
        <w:autoSpaceDE/>
        <w:autoSpaceDN/>
        <w:spacing w:before="0" w:line="360" w:lineRule="auto"/>
        <w:ind w:left="0" w:firstLine="0"/>
        <w:jc w:val="both"/>
        <w:rPr>
          <w:rFonts w:ascii="Arial" w:hAnsi="Arial" w:cs="Arial"/>
          <w:bCs/>
          <w:iCs/>
        </w:rPr>
      </w:pPr>
      <w:r w:rsidRPr="00D41493">
        <w:rPr>
          <w:rFonts w:ascii="Arial" w:hAnsi="Arial" w:cs="Arial"/>
          <w:bCs/>
          <w:iCs/>
        </w:rPr>
        <w:t>Segurar patrimônios de terceiros (bens imóveis), haja vista, que os equipamentos prestarão serviços em áreas urbanas, movimentadas e habitadas;</w:t>
      </w:r>
    </w:p>
    <w:p w14:paraId="7003E7DB" w14:textId="5C7D44D2" w:rsidR="00D41493" w:rsidRPr="00D41493" w:rsidRDefault="00D41493" w:rsidP="00D41493">
      <w:pPr>
        <w:pStyle w:val="PargrafodaLista"/>
        <w:widowControl/>
        <w:numPr>
          <w:ilvl w:val="3"/>
          <w:numId w:val="11"/>
        </w:numPr>
        <w:suppressAutoHyphens/>
        <w:autoSpaceDE/>
        <w:autoSpaceDN/>
        <w:spacing w:before="0" w:line="360" w:lineRule="auto"/>
        <w:ind w:left="0" w:firstLine="0"/>
        <w:jc w:val="both"/>
        <w:rPr>
          <w:rFonts w:ascii="Arial" w:hAnsi="Arial" w:cs="Arial"/>
          <w:bCs/>
          <w:iCs/>
        </w:rPr>
      </w:pPr>
      <w:r w:rsidRPr="00D41493">
        <w:rPr>
          <w:rFonts w:ascii="Arial" w:hAnsi="Arial" w:cs="Arial"/>
          <w:bCs/>
          <w:iCs/>
        </w:rPr>
        <w:t>Segurar quaisquer acidentes de servidores da municipalidade que estiverem participando dos trabalhos realizados pelos equipamentos da CONTRATADA.</w:t>
      </w:r>
    </w:p>
    <w:p w14:paraId="6C82722D" w14:textId="60E2A322" w:rsidR="00D41493" w:rsidRPr="00F262A1" w:rsidRDefault="00D41493" w:rsidP="00D41493">
      <w:pPr>
        <w:pStyle w:val="Nivel2"/>
        <w:suppressAutoHyphens/>
        <w:spacing w:before="0" w:after="0" w:line="360" w:lineRule="auto"/>
        <w:rPr>
          <w:rFonts w:eastAsia="Verdana"/>
          <w:bCs/>
          <w:iCs/>
          <w:color w:val="auto"/>
          <w:sz w:val="22"/>
          <w:szCs w:val="22"/>
          <w:lang w:val="pt-PT" w:eastAsia="en-US"/>
        </w:rPr>
      </w:pPr>
    </w:p>
    <w:p w14:paraId="22193CCF" w14:textId="061360DF" w:rsidR="00C634F1" w:rsidRPr="007B0D84" w:rsidRDefault="00C634F1" w:rsidP="00F262A1">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F262A1">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F262A1" w:rsidRDefault="00147B9F"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F262A1">
        <w:rPr>
          <w:rFonts w:ascii="Arial" w:hAnsi="Arial" w:cs="Arial"/>
          <w:bCs/>
          <w:iCs/>
        </w:rPr>
        <w:t>O valor total da contratação é de R$.......... (.....)</w:t>
      </w:r>
    </w:p>
    <w:p w14:paraId="19E0CAC1" w14:textId="3066B963" w:rsidR="001D32DF" w:rsidRPr="00F262A1" w:rsidRDefault="001D32DF"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F262A1">
        <w:rPr>
          <w:rFonts w:ascii="Arial" w:hAnsi="Arial" w:cs="Arial"/>
          <w:bCs/>
          <w:iCs/>
        </w:rPr>
        <w:t xml:space="preserve">No valor acima estão incluídas todas as despesas ordinárias diretas e indiretas decorrentes da execução contratual, inclusive tributos e/ou impostos, encargos sociais, </w:t>
      </w:r>
      <w:r w:rsidRPr="00F262A1">
        <w:rPr>
          <w:rFonts w:ascii="Arial" w:hAnsi="Arial" w:cs="Arial"/>
          <w:bCs/>
          <w:iCs/>
        </w:rPr>
        <w:lastRenderedPageBreak/>
        <w:t>trabalhistas, previdenciários, fiscais e comerciais incidentes, taxa de administração, frete, seguro e outros necessários ao cumprimento integral do objeto da contratação.</w:t>
      </w:r>
    </w:p>
    <w:p w14:paraId="6F1CFCBF" w14:textId="69D61111" w:rsidR="00147B9F" w:rsidRPr="00F262A1" w:rsidRDefault="00147B9F"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F262A1">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BE4E9F" w:rsidRDefault="00BE4E9F" w:rsidP="00F262A1">
      <w:pPr>
        <w:pStyle w:val="PargrafodaLista"/>
        <w:numPr>
          <w:ilvl w:val="0"/>
          <w:numId w:val="11"/>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44F2AC49" w14:textId="12D6830D" w:rsidR="00F262A1" w:rsidRPr="00F262A1" w:rsidRDefault="00F262A1" w:rsidP="00F262A1">
      <w:pPr>
        <w:pStyle w:val="PargrafodaLista"/>
        <w:widowControl/>
        <w:numPr>
          <w:ilvl w:val="1"/>
          <w:numId w:val="11"/>
        </w:numPr>
        <w:shd w:val="clear" w:color="auto" w:fill="FFFFFF" w:themeFill="background1"/>
        <w:suppressAutoHyphens/>
        <w:autoSpaceDE/>
        <w:autoSpaceDN/>
        <w:spacing w:line="360" w:lineRule="auto"/>
        <w:ind w:left="0" w:firstLine="0"/>
        <w:jc w:val="both"/>
        <w:rPr>
          <w:rFonts w:ascii="Arial" w:hAnsi="Arial" w:cs="Arial"/>
          <w:bCs/>
          <w:iCs/>
        </w:rPr>
      </w:pPr>
      <w:r w:rsidRPr="00F262A1">
        <w:rPr>
          <w:rFonts w:ascii="Arial" w:hAnsi="Arial" w:cs="Arial"/>
          <w:bCs/>
          <w:iCs/>
        </w:rPr>
        <w:t>- O pagamento será efetuado conforme estabelecido no Decreto Municipal nº 2493, de 07 de novembro de 2023, desde que as certidões listadas abaixo estejam dentro da validade:</w:t>
      </w:r>
    </w:p>
    <w:p w14:paraId="2CC85053" w14:textId="77777777" w:rsidR="00F262A1" w:rsidRPr="00F262A1" w:rsidRDefault="00F262A1" w:rsidP="00F262A1">
      <w:pPr>
        <w:widowControl/>
        <w:numPr>
          <w:ilvl w:val="0"/>
          <w:numId w:val="13"/>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F262A1">
        <w:rPr>
          <w:rFonts w:ascii="Arial" w:hAnsi="Arial" w:cs="Arial"/>
          <w:bCs/>
          <w:iCs/>
        </w:rPr>
        <w:t>Negativa de Débitos Trabalhistas;</w:t>
      </w:r>
    </w:p>
    <w:p w14:paraId="1BBE57E5" w14:textId="77777777" w:rsidR="00F262A1" w:rsidRPr="00F262A1" w:rsidRDefault="00F262A1" w:rsidP="00F262A1">
      <w:pPr>
        <w:widowControl/>
        <w:numPr>
          <w:ilvl w:val="0"/>
          <w:numId w:val="13"/>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F262A1">
        <w:rPr>
          <w:rFonts w:ascii="Arial" w:hAnsi="Arial" w:cs="Arial"/>
          <w:bCs/>
          <w:iCs/>
        </w:rPr>
        <w:t>Fazenda Federal – abrange as contribuições sociais;</w:t>
      </w:r>
    </w:p>
    <w:p w14:paraId="703EBA90" w14:textId="77777777" w:rsidR="00F262A1" w:rsidRPr="00F262A1" w:rsidRDefault="00F262A1" w:rsidP="00F262A1">
      <w:pPr>
        <w:widowControl/>
        <w:numPr>
          <w:ilvl w:val="0"/>
          <w:numId w:val="13"/>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F262A1">
        <w:rPr>
          <w:rFonts w:ascii="Arial" w:hAnsi="Arial" w:cs="Arial"/>
          <w:bCs/>
          <w:iCs/>
        </w:rPr>
        <w:t>FGTS;</w:t>
      </w:r>
    </w:p>
    <w:p w14:paraId="3188265E" w14:textId="77777777" w:rsidR="00F262A1" w:rsidRPr="00F262A1" w:rsidRDefault="00F262A1" w:rsidP="00F262A1">
      <w:pPr>
        <w:widowControl/>
        <w:numPr>
          <w:ilvl w:val="0"/>
          <w:numId w:val="13"/>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F262A1">
        <w:rPr>
          <w:rFonts w:ascii="Arial" w:hAnsi="Arial" w:cs="Arial"/>
          <w:bCs/>
          <w:iCs/>
        </w:rPr>
        <w:t>PGE – referente à Dívida Ativa Estadual;</w:t>
      </w:r>
    </w:p>
    <w:p w14:paraId="4F34A7F5" w14:textId="77777777" w:rsidR="00F262A1" w:rsidRPr="00F262A1" w:rsidRDefault="00F262A1" w:rsidP="00F262A1">
      <w:pPr>
        <w:widowControl/>
        <w:numPr>
          <w:ilvl w:val="0"/>
          <w:numId w:val="13"/>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F262A1">
        <w:rPr>
          <w:rFonts w:ascii="Arial" w:hAnsi="Arial" w:cs="Arial"/>
          <w:bCs/>
          <w:iCs/>
        </w:rPr>
        <w:t>Municipal – referente ao ISS e Dívida Ativa;</w:t>
      </w:r>
    </w:p>
    <w:p w14:paraId="321C4A9B" w14:textId="77777777" w:rsidR="00F262A1" w:rsidRPr="00F262A1" w:rsidRDefault="00F262A1" w:rsidP="00F262A1">
      <w:pPr>
        <w:widowControl/>
        <w:numPr>
          <w:ilvl w:val="0"/>
          <w:numId w:val="13"/>
        </w:numPr>
        <w:tabs>
          <w:tab w:val="clear" w:pos="1440"/>
          <w:tab w:val="left" w:pos="720"/>
        </w:tabs>
        <w:suppressAutoHyphens/>
        <w:overflowPunct w:val="0"/>
        <w:autoSpaceDE/>
        <w:autoSpaceDN/>
        <w:spacing w:line="360" w:lineRule="auto"/>
        <w:ind w:leftChars="100" w:left="220" w:firstLine="0"/>
        <w:jc w:val="both"/>
        <w:rPr>
          <w:rFonts w:ascii="Arial" w:hAnsi="Arial" w:cs="Arial"/>
          <w:bCs/>
          <w:iCs/>
        </w:rPr>
      </w:pPr>
      <w:r w:rsidRPr="00F262A1">
        <w:rPr>
          <w:rFonts w:ascii="Arial" w:hAnsi="Arial" w:cs="Arial"/>
          <w:bCs/>
          <w:iCs/>
        </w:rPr>
        <w:t>Estadual CND – referente ao ICMS.</w:t>
      </w:r>
    </w:p>
    <w:p w14:paraId="0266E5AB" w14:textId="12475AA7" w:rsidR="00F262A1" w:rsidRPr="00F262A1" w:rsidRDefault="00F262A1" w:rsidP="00F262A1">
      <w:pPr>
        <w:pStyle w:val="PargrafodaLista"/>
        <w:widowControl/>
        <w:numPr>
          <w:ilvl w:val="1"/>
          <w:numId w:val="11"/>
        </w:numPr>
        <w:shd w:val="clear" w:color="auto" w:fill="FFFFFF" w:themeFill="background1"/>
        <w:suppressAutoHyphens/>
        <w:autoSpaceDE/>
        <w:autoSpaceDN/>
        <w:spacing w:line="360" w:lineRule="auto"/>
        <w:ind w:left="0" w:firstLine="0"/>
        <w:jc w:val="both"/>
        <w:rPr>
          <w:rFonts w:ascii="Arial" w:hAnsi="Arial" w:cs="Arial"/>
          <w:bCs/>
          <w:iCs/>
        </w:rPr>
      </w:pPr>
      <w:r w:rsidRPr="00F262A1">
        <w:rPr>
          <w:rFonts w:ascii="Arial" w:hAnsi="Arial" w:cs="Arial"/>
          <w:bCs/>
          <w:iCs/>
        </w:rPr>
        <w:t>A Nota Fiscal deverá conter a identificação do Banco, número da Agência e da Conta Corrente, para que possibilite o CONTRATANTE efetuar o pagamento do valor devido.</w:t>
      </w:r>
    </w:p>
    <w:p w14:paraId="40857DEE" w14:textId="2393FBC8" w:rsidR="00F262A1" w:rsidRPr="00F262A1" w:rsidRDefault="00F262A1" w:rsidP="00F262A1">
      <w:pPr>
        <w:pStyle w:val="PargrafodaLista"/>
        <w:widowControl/>
        <w:numPr>
          <w:ilvl w:val="1"/>
          <w:numId w:val="11"/>
        </w:numPr>
        <w:shd w:val="clear" w:color="auto" w:fill="FFFFFF" w:themeFill="background1"/>
        <w:suppressAutoHyphens/>
        <w:autoSpaceDE/>
        <w:autoSpaceDN/>
        <w:spacing w:line="360" w:lineRule="auto"/>
        <w:ind w:left="0" w:firstLine="0"/>
        <w:jc w:val="both"/>
        <w:rPr>
          <w:rFonts w:ascii="Arial" w:hAnsi="Arial" w:cs="Arial"/>
          <w:bCs/>
          <w:iCs/>
        </w:rPr>
      </w:pPr>
      <w:r w:rsidRPr="00F262A1">
        <w:rPr>
          <w:rFonts w:ascii="Arial" w:hAnsi="Arial" w:cs="Arial"/>
          <w:bCs/>
          <w:iCs/>
        </w:rPr>
        <w:t>Na ocorrência de rejeição da(s) Nota(s) Fiscal (s), motivada por erro ou incorreções, o prazo para pagamento estipulado acima passará a ser contado a partir da data de sua reapresentação.</w:t>
      </w:r>
    </w:p>
    <w:p w14:paraId="5C3CDEC4" w14:textId="3EFF6C17" w:rsidR="00F262A1" w:rsidRPr="00F262A1" w:rsidRDefault="00F262A1" w:rsidP="00F262A1">
      <w:pPr>
        <w:pStyle w:val="PargrafodaLista"/>
        <w:widowControl/>
        <w:numPr>
          <w:ilvl w:val="1"/>
          <w:numId w:val="11"/>
        </w:numPr>
        <w:shd w:val="clear" w:color="auto" w:fill="FFFFFF" w:themeFill="background1"/>
        <w:suppressAutoHyphens/>
        <w:autoSpaceDE/>
        <w:autoSpaceDN/>
        <w:spacing w:line="360" w:lineRule="auto"/>
        <w:ind w:left="0" w:firstLine="0"/>
        <w:jc w:val="both"/>
        <w:rPr>
          <w:rFonts w:ascii="Arial" w:hAnsi="Arial" w:cs="Arial"/>
          <w:bCs/>
          <w:iCs/>
        </w:rPr>
      </w:pPr>
      <w:r w:rsidRPr="00F262A1">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F262A1">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F262A1"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F262A1">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lastRenderedPageBreak/>
        <w:t>Nos reajustes subsequentes ao primeiro, o interregno mínimo de um ano será contado a partir dos efeitos financeiros do último reajuste.</w:t>
      </w:r>
    </w:p>
    <w:p w14:paraId="493CC5B1" w14:textId="77777777" w:rsidR="0097688D" w:rsidRP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F262A1">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Explicitamente emitir decisão sobre todas as solicitações e reclamações relacionadas à execução do presente Contrato, ressalvados os requerimentos manifestamente </w:t>
      </w:r>
      <w:r w:rsidRPr="00A27B94">
        <w:rPr>
          <w:rFonts w:ascii="Arial" w:hAnsi="Arial" w:cs="Arial"/>
          <w:bCs/>
          <w:iCs/>
          <w:lang w:val="pt-BR"/>
        </w:rPr>
        <w:lastRenderedPageBreak/>
        <w:t>impertinentes, meramente protelatórios ou de nenhum interesse para a boa execução do ajuste.</w:t>
      </w:r>
    </w:p>
    <w:p w14:paraId="7BEA1B30" w14:textId="53419478"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w:t>
      </w:r>
      <w:r w:rsidRPr="00F262A1">
        <w:rPr>
          <w:rFonts w:ascii="Arial" w:hAnsi="Arial" w:cs="Arial"/>
          <w:bCs/>
          <w:iCs/>
          <w:lang w:val="pt-BR"/>
        </w:rPr>
        <w:t xml:space="preserve">de </w:t>
      </w:r>
      <w:r w:rsidRPr="00F262A1">
        <w:rPr>
          <w:rFonts w:ascii="Arial" w:hAnsi="Arial" w:cs="Arial"/>
          <w:bCs/>
          <w:iCs/>
        </w:rPr>
        <w:t>1 (um) mês</w:t>
      </w:r>
      <w:r w:rsidRPr="00F262A1">
        <w:rPr>
          <w:rFonts w:ascii="Arial" w:hAnsi="Arial" w:cs="Arial"/>
          <w:bCs/>
          <w:iCs/>
          <w:lang w:val="pt-BR"/>
        </w:rPr>
        <w:t xml:space="preserve">, a </w:t>
      </w:r>
      <w:r w:rsidRPr="00A27B94">
        <w:rPr>
          <w:rFonts w:ascii="Arial" w:hAnsi="Arial" w:cs="Arial"/>
          <w:bCs/>
          <w:iCs/>
          <w:lang w:val="pt-BR"/>
        </w:rPr>
        <w:t xml:space="preserve">contar da data do protocolo do requerimento para decidir, admitida a prorrogação motivada, por igual período. </w:t>
      </w:r>
    </w:p>
    <w:p w14:paraId="5F21FBC5" w14:textId="2BF7760D"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Responder eventuais pedidos de reestabelecimento do equilíbrio econômico-financeiro feitos pelo contratado no prazo máximo de </w:t>
      </w:r>
      <w:r w:rsidRPr="00F262A1">
        <w:rPr>
          <w:rFonts w:ascii="Arial" w:hAnsi="Arial" w:cs="Arial"/>
          <w:bCs/>
          <w:iCs/>
        </w:rPr>
        <w:t>1 (um) mês</w:t>
      </w:r>
      <w:r w:rsidRPr="00F262A1">
        <w:rPr>
          <w:rFonts w:ascii="Arial" w:hAnsi="Arial" w:cs="Arial"/>
          <w:bCs/>
          <w:iCs/>
          <w:lang w:val="pt-BR"/>
        </w:rPr>
        <w:t>.</w:t>
      </w:r>
    </w:p>
    <w:p w14:paraId="15218468" w14:textId="77777777" w:rsidR="00EA6E3C" w:rsidRPr="00EA6E3C" w:rsidRDefault="00EA6E3C"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F262A1">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1E1C9355" w:rsidR="008743A2" w:rsidRPr="00401C60" w:rsidRDefault="008743A2" w:rsidP="00401C60">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401C60">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xml:space="preserve">), bem como por todo e qualquer dano causado à Administração ou terceiros, não reduzindo essa </w:t>
      </w:r>
      <w:r w:rsidRPr="00DC6FCA">
        <w:rPr>
          <w:rFonts w:ascii="Arial" w:hAnsi="Arial" w:cs="Arial"/>
          <w:bCs/>
          <w:iCs/>
          <w:lang w:val="pt-BR"/>
        </w:rPr>
        <w:lastRenderedPageBreak/>
        <w:t>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0078FD5B" w:rsidR="008743A2" w:rsidRDefault="008743A2" w:rsidP="00F262A1">
      <w:pPr>
        <w:pStyle w:val="PargrafodaLista"/>
        <w:widowControl/>
        <w:numPr>
          <w:ilvl w:val="2"/>
          <w:numId w:val="11"/>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3C9C4C33" w14:textId="77777777" w:rsidR="0062027C" w:rsidRPr="00DC6FCA" w:rsidRDefault="0062027C" w:rsidP="0062027C">
      <w:pPr>
        <w:pStyle w:val="PargrafodaLista"/>
        <w:widowControl/>
        <w:tabs>
          <w:tab w:val="left" w:pos="426"/>
        </w:tabs>
        <w:autoSpaceDE/>
        <w:autoSpaceDN/>
        <w:spacing w:before="120" w:after="120" w:line="276" w:lineRule="auto"/>
        <w:ind w:left="720"/>
        <w:jc w:val="both"/>
        <w:rPr>
          <w:rFonts w:ascii="Arial" w:hAnsi="Arial" w:cs="Arial"/>
          <w:bCs/>
          <w:iCs/>
          <w:lang w:val="pt-BR"/>
        </w:rPr>
      </w:pPr>
    </w:p>
    <w:p w14:paraId="08F3143E" w14:textId="53240696" w:rsidR="003A3482" w:rsidRDefault="003A3482" w:rsidP="00F262A1">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3A3482">
        <w:rPr>
          <w:rFonts w:ascii="Arial" w:eastAsiaTheme="majorEastAsia" w:hAnsi="Arial" w:cs="Arial"/>
          <w:b/>
          <w:bCs/>
          <w:lang w:val="pt-BR" w:eastAsia="pt-BR"/>
        </w:rPr>
        <w:t>CLÁUSULA DÉCIMA– GARANTIA DE EXECUÇÃO (art. 92, XII)</w:t>
      </w:r>
    </w:p>
    <w:p w14:paraId="75899484" w14:textId="77777777" w:rsidR="003A3482" w:rsidRPr="003A3482" w:rsidRDefault="003A3482" w:rsidP="00F262A1">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760299F" w:rsidR="009C02ED" w:rsidRDefault="009C02ED" w:rsidP="00F262A1">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62027C">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9"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4E371A96" w14:textId="59A95751"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 xml:space="preserve">O descumprimento, por parte da CONTRATADA, das obrigações assumidas no Termo de Referência, ou o descumprimento dos preceitos legais pertinentes, ensejará a aplicação das sanções previstas na lei 14.133/21. </w:t>
      </w:r>
    </w:p>
    <w:p w14:paraId="3303BCAB" w14:textId="77777777" w:rsidR="0062027C" w:rsidRPr="0062027C" w:rsidRDefault="0062027C" w:rsidP="0062027C">
      <w:pPr>
        <w:pStyle w:val="PargrafodaLista"/>
        <w:widowControl/>
        <w:numPr>
          <w:ilvl w:val="2"/>
          <w:numId w:val="11"/>
        </w:numPr>
        <w:suppressAutoHyphens/>
        <w:autoSpaceDE/>
        <w:autoSpaceDN/>
        <w:spacing w:before="0" w:line="360" w:lineRule="auto"/>
        <w:ind w:left="0" w:firstLine="0"/>
        <w:contextualSpacing/>
        <w:jc w:val="both"/>
      </w:pPr>
      <w:r w:rsidRPr="0062027C">
        <w:t>Comete infração administrativa a contratada que:</w:t>
      </w:r>
    </w:p>
    <w:p w14:paraId="3169AD3C"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Dar causa à inexecução parcial do contrato;</w:t>
      </w:r>
    </w:p>
    <w:p w14:paraId="3E27AAB8"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Dar causa à inexecução parcial do contrato que cause grave dano à Administração, ao funcionamento dos serviços públicos ou ao interesse coletivo;</w:t>
      </w:r>
    </w:p>
    <w:p w14:paraId="12CD191B"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lastRenderedPageBreak/>
        <w:t>Dar causa à inexecução total do contrato;</w:t>
      </w:r>
    </w:p>
    <w:p w14:paraId="6148E67D"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Deixar de entregar a documentação exigida para o certame;</w:t>
      </w:r>
    </w:p>
    <w:p w14:paraId="44BF46C4"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Não manter a proposta, salvo em decorrência de fato superveniente devidamente justificado;</w:t>
      </w:r>
    </w:p>
    <w:p w14:paraId="790AA29E"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Não celebrar o contrato ou não entregar a documentação exigida para a contratação, quando convocado dentro do prazo de validade de sua proposta;</w:t>
      </w:r>
    </w:p>
    <w:p w14:paraId="280D8A4D"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Ensejar o retardamento da execução ou da entrega do objeto da licitação sem motivo justificado;</w:t>
      </w:r>
    </w:p>
    <w:p w14:paraId="2A7F6C0A"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Apresentar declaração ou documentação falsa exigida para o certame ou prestar declaração falsa durante a licitação ou a execução do contrato;</w:t>
      </w:r>
    </w:p>
    <w:p w14:paraId="75607AB8"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Fraudar a licitação ou praticar ato fraudulento na execução do contrato;</w:t>
      </w:r>
    </w:p>
    <w:p w14:paraId="1150E2CD"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Comportar-se de modo inidôneo ou cometer fraude de qualquer natureza;</w:t>
      </w:r>
    </w:p>
    <w:p w14:paraId="671992FC" w14:textId="77777777" w:rsidR="0062027C" w:rsidRPr="0062027C" w:rsidRDefault="0062027C" w:rsidP="0062027C">
      <w:pPr>
        <w:pStyle w:val="PargrafodaLista"/>
        <w:widowControl/>
        <w:numPr>
          <w:ilvl w:val="3"/>
          <w:numId w:val="11"/>
        </w:numPr>
        <w:suppressAutoHyphens/>
        <w:autoSpaceDE/>
        <w:autoSpaceDN/>
        <w:spacing w:before="0" w:line="360" w:lineRule="auto"/>
        <w:ind w:left="0" w:firstLine="0"/>
        <w:contextualSpacing/>
        <w:jc w:val="both"/>
      </w:pPr>
      <w:r w:rsidRPr="0062027C">
        <w:t>Praticar atos ilícitos com vistas a frustrar os objetivos da licitação;</w:t>
      </w:r>
    </w:p>
    <w:p w14:paraId="43EC18A4"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Considera-se comportamento inidôneo, entre outros, a declaração falsa quanto às condições de participação, quanto ao enquadramento como ME/EPP, ou conluio, entre os licitantes, em qualquer momento da licitação, mesmo após o encerramento da fase de lances;</w:t>
      </w:r>
    </w:p>
    <w:p w14:paraId="537A34A0"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Pela inexecução total ou parcial do contrato a Administração poderá, garantida a prévia defesa, aplicar à empresa, observando a gravidade das faltas cometidas, as seguintes sanções:</w:t>
      </w:r>
    </w:p>
    <w:p w14:paraId="1241D14B" w14:textId="77777777" w:rsidR="0062027C" w:rsidRPr="0062027C" w:rsidRDefault="0062027C" w:rsidP="0062027C">
      <w:pPr>
        <w:pStyle w:val="PargrafodaLista"/>
        <w:widowControl/>
        <w:numPr>
          <w:ilvl w:val="2"/>
          <w:numId w:val="11"/>
        </w:numPr>
        <w:suppressAutoHyphens/>
        <w:autoSpaceDE/>
        <w:autoSpaceDN/>
        <w:spacing w:before="0" w:line="360" w:lineRule="auto"/>
        <w:ind w:left="0" w:firstLine="0"/>
        <w:contextualSpacing/>
        <w:jc w:val="both"/>
      </w:pPr>
      <w:r w:rsidRPr="0062027C">
        <w:t>Advertência;</w:t>
      </w:r>
    </w:p>
    <w:p w14:paraId="0206E4B2" w14:textId="77777777" w:rsidR="0062027C" w:rsidRPr="0062027C" w:rsidRDefault="0062027C" w:rsidP="0062027C">
      <w:pPr>
        <w:pStyle w:val="PargrafodaLista"/>
        <w:widowControl/>
        <w:numPr>
          <w:ilvl w:val="2"/>
          <w:numId w:val="11"/>
        </w:numPr>
        <w:suppressAutoHyphens/>
        <w:autoSpaceDE/>
        <w:autoSpaceDN/>
        <w:spacing w:before="0" w:line="360" w:lineRule="auto"/>
        <w:ind w:left="0" w:firstLine="0"/>
        <w:contextualSpacing/>
        <w:jc w:val="both"/>
      </w:pPr>
      <w:r w:rsidRPr="0062027C">
        <w:t xml:space="preserve">Multa; </w:t>
      </w:r>
    </w:p>
    <w:p w14:paraId="5D8027DA" w14:textId="77777777" w:rsidR="0062027C" w:rsidRPr="0062027C" w:rsidRDefault="0062027C" w:rsidP="0062027C">
      <w:pPr>
        <w:pStyle w:val="PargrafodaLista"/>
        <w:widowControl/>
        <w:numPr>
          <w:ilvl w:val="2"/>
          <w:numId w:val="11"/>
        </w:numPr>
        <w:suppressAutoHyphens/>
        <w:autoSpaceDE/>
        <w:autoSpaceDN/>
        <w:spacing w:before="0" w:line="360" w:lineRule="auto"/>
        <w:ind w:left="0" w:firstLine="0"/>
        <w:contextualSpacing/>
        <w:jc w:val="both"/>
      </w:pPr>
      <w:r w:rsidRPr="0062027C">
        <w:t>Impedimento de licitar e contratar;</w:t>
      </w:r>
    </w:p>
    <w:p w14:paraId="1885AFF7" w14:textId="77777777" w:rsidR="0062027C" w:rsidRPr="0062027C" w:rsidRDefault="0062027C" w:rsidP="0062027C">
      <w:pPr>
        <w:pStyle w:val="PargrafodaLista"/>
        <w:widowControl/>
        <w:numPr>
          <w:ilvl w:val="2"/>
          <w:numId w:val="11"/>
        </w:numPr>
        <w:suppressAutoHyphens/>
        <w:autoSpaceDE/>
        <w:autoSpaceDN/>
        <w:spacing w:before="0" w:line="360" w:lineRule="auto"/>
        <w:ind w:left="0" w:firstLine="0"/>
        <w:contextualSpacing/>
        <w:jc w:val="both"/>
      </w:pPr>
      <w:r w:rsidRPr="0062027C">
        <w:t>Declaração de inidoneidade para licitar ou contratar.</w:t>
      </w:r>
    </w:p>
    <w:p w14:paraId="5BBC5213"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Compensatória no percentual de até 10% (dez por cento), calculada sobre o valor total do contrato, pela recusa em assiná-lo, no prazo máximo de 05 (cinco) dias úteis, após regularmente convocada, sem prejuízo da aplicação de outras sanções previstas;</w:t>
      </w:r>
    </w:p>
    <w:p w14:paraId="62A57758"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lastRenderedPageBreak/>
        <w:t>Compensatória no percentual de até 5% (cinco por cento) do valor da fatura correspondente ao mês em que foi constatada a falta;</w:t>
      </w:r>
    </w:p>
    <w:p w14:paraId="00E06003"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Moratória no percentual correspondente a 0,5% (meio por cento), calculada sobre o valor total do contrato, por dia de inadimplência, até o limite máximo de 10% (dez por cento), ou seja, por 20 (vinte) dias, o que poderá ensejar a rescisão do contrato;</w:t>
      </w:r>
    </w:p>
    <w:p w14:paraId="3ACFFBED"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Moratória no percentual de 10% (dez por cento), calculada sobre o valor total da contratação, pela inadimplência além do prazo acima, o que poderá ensejar a rescisão do contrato;</w:t>
      </w:r>
    </w:p>
    <w:p w14:paraId="58008CB6"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Suspensão temporária de participação em licitação e impedimento de contratar com a Administração, por prazo não superior a 3 (três) anos;</w:t>
      </w:r>
    </w:p>
    <w:p w14:paraId="282310B7"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Declaração de inidoneidade para licitar ou contratar com a Administração Pública enquanto perdurarem os motivos determinantes da punição ou até que seja promovida a reabilitação perante a própria autoridade que aplicou a penalidade, que será concedida sempre que o contratado ressarcir a Administração pelos prejuízos resultantes e após decorrido o prazo da sanção aplicada com base na alínea anterior;</w:t>
      </w:r>
    </w:p>
    <w:p w14:paraId="6444F3DA"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 xml:space="preserve"> As multas e outras sanções aplicadas só poderão ser relevadas, motivadamente e por conveniência administrativa, mediante ato da Administração, devidamente justificado;</w:t>
      </w:r>
    </w:p>
    <w:p w14:paraId="444BD4F3"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 xml:space="preserve">As sanções aqui previstas são independentes entre si, podendo ser aplicadas isoladas ou cumulativamente, sem prejuízo de outras medidas cabíveis; </w:t>
      </w:r>
    </w:p>
    <w:p w14:paraId="2C35578E" w14:textId="77777777" w:rsidR="0062027C" w:rsidRPr="0062027C" w:rsidRDefault="0062027C" w:rsidP="0062027C">
      <w:pPr>
        <w:pStyle w:val="PargrafodaLista"/>
        <w:widowControl/>
        <w:numPr>
          <w:ilvl w:val="1"/>
          <w:numId w:val="11"/>
        </w:numPr>
        <w:suppressAutoHyphens/>
        <w:autoSpaceDE/>
        <w:autoSpaceDN/>
        <w:spacing w:before="0" w:line="360" w:lineRule="auto"/>
        <w:ind w:left="0" w:firstLine="0"/>
        <w:contextualSpacing/>
        <w:jc w:val="both"/>
      </w:pPr>
      <w:r w:rsidRPr="0062027C">
        <w:t>A aplicação de quaisquer das penalidades previstas realizar-se–á em processo administrativo que assegurará o contraditório e a ampla defesa ao licitante/adjudicatário, observando-se o procedimento previsto na Lei n.º 14.133/21.</w:t>
      </w:r>
    </w:p>
    <w:p w14:paraId="5ACB71AD" w14:textId="3C6F3310" w:rsidR="003444FD" w:rsidRDefault="00055A35" w:rsidP="00F262A1">
      <w:pPr>
        <w:pStyle w:val="Nivel01"/>
        <w:numPr>
          <w:ilvl w:val="0"/>
          <w:numId w:val="11"/>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62027C">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20"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Default="003444FD" w:rsidP="00F262A1">
      <w:pPr>
        <w:pStyle w:val="PargrafodaLista"/>
        <w:widowControl/>
        <w:numPr>
          <w:ilvl w:val="1"/>
          <w:numId w:val="11"/>
        </w:numPr>
        <w:tabs>
          <w:tab w:val="left" w:pos="709"/>
        </w:tabs>
        <w:autoSpaceDE/>
        <w:autoSpaceDN/>
        <w:spacing w:before="120" w:after="120" w:line="276" w:lineRule="auto"/>
        <w:ind w:left="0" w:firstLine="0"/>
        <w:jc w:val="both"/>
        <w:rPr>
          <w:rFonts w:ascii="Arial" w:eastAsiaTheme="minorEastAsia" w:hAnsi="Arial" w:cs="Arial"/>
          <w:sz w:val="20"/>
          <w:szCs w:val="20"/>
          <w:lang w:val="pt-BR" w:eastAsia="pt-BR"/>
        </w:rPr>
      </w:pPr>
      <w:r>
        <w:t xml:space="preserve">O contrato </w:t>
      </w:r>
      <w:r w:rsidRPr="00ED1360">
        <w:t>será extinto</w:t>
      </w:r>
      <w:r>
        <w:t xml:space="preserve"> quando cumpridas as obrigações de ambas as partes, ainda que isso ocorra antes do prazo estipulado para tanto.</w:t>
      </w:r>
    </w:p>
    <w:p w14:paraId="1659E80D" w14:textId="77777777" w:rsidR="003444FD" w:rsidRDefault="003444FD" w:rsidP="00F262A1">
      <w:pPr>
        <w:pStyle w:val="PargrafodaLista"/>
        <w:widowControl/>
        <w:numPr>
          <w:ilvl w:val="1"/>
          <w:numId w:val="11"/>
        </w:numPr>
        <w:tabs>
          <w:tab w:val="left" w:pos="426"/>
        </w:tabs>
        <w:autoSpaceDE/>
        <w:autoSpaceDN/>
        <w:spacing w:before="120" w:after="120" w:line="276" w:lineRule="auto"/>
        <w:ind w:left="0" w:firstLine="0"/>
        <w:jc w:val="both"/>
      </w:pPr>
      <w:r>
        <w:lastRenderedPageBreak/>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Default="003444FD" w:rsidP="00F262A1">
      <w:pPr>
        <w:pStyle w:val="PargrafodaLista"/>
        <w:widowControl/>
        <w:numPr>
          <w:ilvl w:val="1"/>
          <w:numId w:val="11"/>
        </w:numPr>
        <w:tabs>
          <w:tab w:val="left" w:pos="426"/>
        </w:tabs>
        <w:autoSpaceDE/>
        <w:autoSpaceDN/>
        <w:spacing w:before="120" w:after="120" w:line="276" w:lineRule="auto"/>
        <w:ind w:left="0" w:firstLine="0"/>
        <w:jc w:val="both"/>
      </w:pPr>
      <w:r>
        <w:t>Quando a não conclusão do contrato referida no item anterior decorrer de culpa do contratado:</w:t>
      </w:r>
    </w:p>
    <w:p w14:paraId="205FF269"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 xml:space="preserve">ficará ele constituído em mora, sendo-lhe aplicáveis as respectivas sanções administrativas; e  </w:t>
      </w:r>
    </w:p>
    <w:p w14:paraId="1BE35F2B"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poderá a Administração optar pela extinção do contrato e, nesse caso, adotará as medidas admitidas em lei para a continuidade da execução contratual</w:t>
      </w:r>
    </w:p>
    <w:p w14:paraId="67053E4B" w14:textId="77777777" w:rsidR="003444FD" w:rsidRPr="00ED1360" w:rsidRDefault="003444FD" w:rsidP="00F262A1">
      <w:pPr>
        <w:pStyle w:val="PargrafodaLista"/>
        <w:widowControl/>
        <w:numPr>
          <w:ilvl w:val="1"/>
          <w:numId w:val="11"/>
        </w:numPr>
        <w:tabs>
          <w:tab w:val="left" w:pos="426"/>
        </w:tabs>
        <w:autoSpaceDE/>
        <w:autoSpaceDN/>
        <w:spacing w:before="120" w:after="120" w:line="276" w:lineRule="auto"/>
        <w:ind w:left="0" w:firstLine="0"/>
        <w:jc w:val="both"/>
      </w:pPr>
      <w:r w:rsidRPr="00ED1360">
        <w:t xml:space="preserve">O contrato poderá ser extinto antes de cumpridas as obrigações nele estipuladas, ou antes do prazo nele fixado, por algum dos motivos previstos no </w:t>
      </w:r>
      <w:hyperlink r:id="rId21" w:anchor="art137" w:history="1">
        <w:r w:rsidRPr="00ED1360">
          <w:rPr>
            <w:rStyle w:val="Hyperlink"/>
          </w:rPr>
          <w:t>artigo 137 da Lei nº 14.133/21</w:t>
        </w:r>
      </w:hyperlink>
      <w:r w:rsidRPr="00ED1360">
        <w:t xml:space="preserve">, bem como amigavelmente, </w:t>
      </w:r>
      <w:r w:rsidRPr="00ED1360">
        <w:rPr>
          <w:color w:val="000000" w:themeColor="text1"/>
        </w:rPr>
        <w:t>assegurados o contraditório e a ampla defesa</w:t>
      </w:r>
      <w:r w:rsidRPr="00ED1360">
        <w:t>.</w:t>
      </w:r>
    </w:p>
    <w:p w14:paraId="4F33BC54" w14:textId="6B0083D9" w:rsidR="003444FD" w:rsidRPr="00ED1360" w:rsidRDefault="00ED1360" w:rsidP="00F262A1">
      <w:pPr>
        <w:pStyle w:val="PargrafodaLista"/>
        <w:widowControl/>
        <w:numPr>
          <w:ilvl w:val="2"/>
          <w:numId w:val="11"/>
        </w:numPr>
        <w:tabs>
          <w:tab w:val="left" w:pos="426"/>
        </w:tabs>
        <w:autoSpaceDE/>
        <w:autoSpaceDN/>
        <w:spacing w:before="120" w:after="120" w:line="276" w:lineRule="auto"/>
        <w:jc w:val="both"/>
      </w:pPr>
      <w:r w:rsidRPr="00ED1360">
        <w:t xml:space="preserve">  </w:t>
      </w:r>
      <w:r w:rsidR="003444FD" w:rsidRPr="00ED1360">
        <w:t xml:space="preserve">Nesta hipótese, aplicam-se também os </w:t>
      </w:r>
      <w:hyperlink r:id="rId22" w:anchor="art138" w:history="1">
        <w:r w:rsidR="003444FD" w:rsidRPr="00ED1360">
          <w:rPr>
            <w:rStyle w:val="Hyperlink"/>
          </w:rPr>
          <w:t>artigos 138 e 139</w:t>
        </w:r>
      </w:hyperlink>
      <w:r w:rsidR="003444FD" w:rsidRPr="00ED1360">
        <w:t xml:space="preserve"> da mesma Lei.</w:t>
      </w:r>
    </w:p>
    <w:p w14:paraId="0ECCD0BD" w14:textId="467966F7" w:rsidR="003444FD" w:rsidRPr="00ED1360" w:rsidRDefault="003444FD" w:rsidP="00F262A1">
      <w:pPr>
        <w:pStyle w:val="PargrafodaLista"/>
        <w:widowControl/>
        <w:numPr>
          <w:ilvl w:val="2"/>
          <w:numId w:val="11"/>
        </w:numPr>
        <w:tabs>
          <w:tab w:val="left" w:pos="426"/>
        </w:tabs>
        <w:autoSpaceDE/>
        <w:autoSpaceDN/>
        <w:spacing w:before="120" w:after="120" w:line="276" w:lineRule="auto"/>
        <w:ind w:left="993" w:hanging="851"/>
        <w:jc w:val="both"/>
      </w:pPr>
      <w:r w:rsidRPr="00ED1360">
        <w:t>A alteração social ou a modificação da finalidade ou da estrutura da empresa não ensejará a extinção se não restringir sua capacidade de concluir o contrato.</w:t>
      </w:r>
    </w:p>
    <w:p w14:paraId="62709D8D" w14:textId="77777777" w:rsidR="003444FD" w:rsidRPr="00ED1360" w:rsidRDefault="003444FD" w:rsidP="00F262A1">
      <w:pPr>
        <w:pStyle w:val="PargrafodaLista"/>
        <w:widowControl/>
        <w:numPr>
          <w:ilvl w:val="3"/>
          <w:numId w:val="11"/>
        </w:numPr>
        <w:tabs>
          <w:tab w:val="left" w:pos="426"/>
        </w:tabs>
        <w:autoSpaceDE/>
        <w:autoSpaceDN/>
        <w:spacing w:before="120" w:after="120" w:line="276" w:lineRule="auto"/>
        <w:jc w:val="both"/>
      </w:pPr>
      <w:r w:rsidRPr="00ED1360">
        <w:rPr>
          <w:color w:val="000000" w:themeColor="text1"/>
        </w:rPr>
        <w:t xml:space="preserve">Se a </w:t>
      </w:r>
      <w:r w:rsidRPr="00ED1360">
        <w:t>operação</w:t>
      </w:r>
      <w:r w:rsidRPr="00ED1360">
        <w:rPr>
          <w:color w:val="000000" w:themeColor="text1"/>
        </w:rPr>
        <w:t xml:space="preserve"> </w:t>
      </w:r>
      <w:r w:rsidRPr="00ED1360">
        <w:t>implicar mudança da pessoa jurídica contratada, deverá ser formalizado termo aditivo para alteração subjetiva.</w:t>
      </w:r>
    </w:p>
    <w:p w14:paraId="15592196" w14:textId="77777777" w:rsidR="003444FD" w:rsidRPr="00ED1360" w:rsidRDefault="003444FD" w:rsidP="00F262A1">
      <w:pPr>
        <w:pStyle w:val="PargrafodaLista"/>
        <w:widowControl/>
        <w:numPr>
          <w:ilvl w:val="1"/>
          <w:numId w:val="11"/>
        </w:numPr>
        <w:tabs>
          <w:tab w:val="left" w:pos="426"/>
        </w:tabs>
        <w:autoSpaceDE/>
        <w:autoSpaceDN/>
        <w:spacing w:before="120" w:after="120" w:line="276" w:lineRule="auto"/>
        <w:ind w:left="0" w:firstLine="0"/>
        <w:jc w:val="both"/>
      </w:pPr>
      <w:r w:rsidRPr="00ED1360">
        <w:t>O termo de extinção, sempre que possível, será precedido:</w:t>
      </w:r>
    </w:p>
    <w:p w14:paraId="176A3888" w14:textId="77777777" w:rsidR="003444FD" w:rsidRPr="00ED1360" w:rsidRDefault="003444FD" w:rsidP="00F262A1">
      <w:pPr>
        <w:pStyle w:val="PargrafodaLista"/>
        <w:widowControl/>
        <w:numPr>
          <w:ilvl w:val="2"/>
          <w:numId w:val="11"/>
        </w:numPr>
        <w:tabs>
          <w:tab w:val="left" w:pos="426"/>
        </w:tabs>
        <w:autoSpaceDE/>
        <w:autoSpaceDN/>
        <w:spacing w:before="120" w:after="120" w:line="276" w:lineRule="auto"/>
        <w:ind w:left="993" w:hanging="851"/>
        <w:jc w:val="both"/>
      </w:pPr>
      <w:r w:rsidRPr="00ED1360">
        <w:t>Balanço dos eventos contratuais já cumpridos ou parcialmente cumpridos;</w:t>
      </w:r>
    </w:p>
    <w:p w14:paraId="6107865B" w14:textId="77777777" w:rsidR="003444FD" w:rsidRPr="00ED1360" w:rsidRDefault="003444FD" w:rsidP="00F262A1">
      <w:pPr>
        <w:pStyle w:val="PargrafodaLista"/>
        <w:widowControl/>
        <w:numPr>
          <w:ilvl w:val="2"/>
          <w:numId w:val="11"/>
        </w:numPr>
        <w:tabs>
          <w:tab w:val="left" w:pos="426"/>
        </w:tabs>
        <w:autoSpaceDE/>
        <w:autoSpaceDN/>
        <w:spacing w:before="120" w:after="120" w:line="276" w:lineRule="auto"/>
        <w:ind w:left="993" w:hanging="851"/>
        <w:jc w:val="both"/>
      </w:pPr>
      <w:r w:rsidRPr="00ED1360">
        <w:t>Relação dos pagamentos já efetuados e ainda devidos;</w:t>
      </w:r>
    </w:p>
    <w:p w14:paraId="78BA3FCD" w14:textId="77777777" w:rsidR="003444FD" w:rsidRPr="00ED1360" w:rsidRDefault="003444FD" w:rsidP="00F262A1">
      <w:pPr>
        <w:pStyle w:val="PargrafodaLista"/>
        <w:widowControl/>
        <w:numPr>
          <w:ilvl w:val="2"/>
          <w:numId w:val="11"/>
        </w:numPr>
        <w:tabs>
          <w:tab w:val="left" w:pos="426"/>
        </w:tabs>
        <w:autoSpaceDE/>
        <w:autoSpaceDN/>
        <w:spacing w:before="120" w:after="120" w:line="276" w:lineRule="auto"/>
        <w:ind w:left="993" w:hanging="851"/>
        <w:jc w:val="both"/>
      </w:pPr>
      <w:r w:rsidRPr="00ED1360">
        <w:t>Indenizações e multas.</w:t>
      </w:r>
    </w:p>
    <w:p w14:paraId="1C2E8726" w14:textId="77777777" w:rsidR="003444FD" w:rsidRPr="00ED1360" w:rsidRDefault="003444FD" w:rsidP="00F262A1">
      <w:pPr>
        <w:pStyle w:val="PargrafodaLista"/>
        <w:widowControl/>
        <w:numPr>
          <w:ilvl w:val="1"/>
          <w:numId w:val="11"/>
        </w:numPr>
        <w:tabs>
          <w:tab w:val="left" w:pos="426"/>
        </w:tabs>
        <w:autoSpaceDE/>
        <w:autoSpaceDN/>
        <w:spacing w:before="120" w:after="120" w:line="276" w:lineRule="auto"/>
        <w:ind w:left="0" w:firstLine="0"/>
        <w:jc w:val="both"/>
      </w:pPr>
      <w:r w:rsidRPr="00ED1360">
        <w:t>A extinção do contrato não configura óbice para o reconhecimento do desequilíbrio econômico-financeiro, hipótese em que será concedida indenização por meio de termo indenizatório (</w:t>
      </w:r>
      <w:hyperlink r:id="rId23"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Default="003444FD" w:rsidP="00F262A1">
      <w:pPr>
        <w:pStyle w:val="PargrafodaLista"/>
        <w:widowControl/>
        <w:numPr>
          <w:ilvl w:val="1"/>
          <w:numId w:val="11"/>
        </w:numPr>
        <w:tabs>
          <w:tab w:val="left" w:pos="426"/>
        </w:tabs>
        <w:autoSpaceDE/>
        <w:autoSpaceDN/>
        <w:spacing w:before="120" w:after="120" w:line="276" w:lineRule="auto"/>
        <w:ind w:left="0" w:firstLine="0"/>
        <w:jc w:val="both"/>
      </w:pPr>
      <w:r w:rsidRPr="00ED1360">
        <w:t xml:space="preserve">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w:t>
      </w:r>
      <w:r w:rsidRPr="00ED1360">
        <w:lastRenderedPageBreak/>
        <w:t>colateral ou por afinidade, até o terceiro grau (art. 14, inciso IV, da Lei n.º 14.133, de 2021).</w:t>
      </w:r>
    </w:p>
    <w:p w14:paraId="507C1573" w14:textId="2F9C1415" w:rsidR="002E43FD" w:rsidRPr="0062027C" w:rsidRDefault="002E43FD" w:rsidP="00F262A1">
      <w:pPr>
        <w:pStyle w:val="Nivel01"/>
        <w:numPr>
          <w:ilvl w:val="0"/>
          <w:numId w:val="11"/>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62027C">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24" w:anchor="art92" w:history="1">
        <w:r w:rsidRPr="002E43FD">
          <w:rPr>
            <w:rStyle w:val="Hyperlink"/>
            <w:sz w:val="22"/>
            <w:szCs w:val="22"/>
          </w:rPr>
          <w:t>art. 92, VIII</w:t>
        </w:r>
      </w:hyperlink>
      <w:r w:rsidRPr="002E43FD">
        <w:rPr>
          <w:sz w:val="22"/>
          <w:szCs w:val="22"/>
        </w:rPr>
        <w:t>)</w:t>
      </w:r>
    </w:p>
    <w:p w14:paraId="678A5D4F" w14:textId="77777777" w:rsidR="0062027C" w:rsidRDefault="0062027C" w:rsidP="0062027C">
      <w:pPr>
        <w:widowControl/>
        <w:numPr>
          <w:ilvl w:val="1"/>
          <w:numId w:val="11"/>
        </w:numPr>
        <w:suppressAutoHyphens/>
        <w:autoSpaceDE/>
        <w:autoSpaceDN/>
        <w:spacing w:line="360" w:lineRule="auto"/>
        <w:ind w:left="0" w:right="2" w:firstLine="0"/>
        <w:jc w:val="both"/>
      </w:pPr>
      <w:r>
        <w:t>As despesas decorrentes da presente contratação correrão à conta de recursos específicos consignados no Orçamento do Município, na forma abaixo:</w:t>
      </w:r>
    </w:p>
    <w:tbl>
      <w:tblPr>
        <w:tblStyle w:val="Tabelacomgrade"/>
        <w:tblW w:w="9067" w:type="dxa"/>
        <w:jc w:val="center"/>
        <w:tblLook w:val="04A0" w:firstRow="1" w:lastRow="0" w:firstColumn="1" w:lastColumn="0" w:noHBand="0" w:noVBand="1"/>
      </w:tblPr>
      <w:tblGrid>
        <w:gridCol w:w="3253"/>
        <w:gridCol w:w="2528"/>
        <w:gridCol w:w="1656"/>
        <w:gridCol w:w="1630"/>
      </w:tblGrid>
      <w:tr w:rsidR="0062027C" w14:paraId="1F5D4876" w14:textId="77777777" w:rsidTr="0062027C">
        <w:trPr>
          <w:jc w:val="center"/>
        </w:trPr>
        <w:tc>
          <w:tcPr>
            <w:tcW w:w="3253" w:type="dxa"/>
            <w:shd w:val="clear" w:color="auto" w:fill="auto"/>
            <w:tcMar>
              <w:left w:w="108" w:type="dxa"/>
            </w:tcMar>
          </w:tcPr>
          <w:p w14:paraId="422A896C" w14:textId="77777777" w:rsidR="0062027C" w:rsidRDefault="0062027C" w:rsidP="00EB12E9">
            <w:pPr>
              <w:pStyle w:val="PargrafodaLista"/>
              <w:spacing w:line="276" w:lineRule="auto"/>
              <w:ind w:left="0"/>
              <w:jc w:val="center"/>
              <w:rPr>
                <w:rFonts w:ascii="Times New Roman" w:hAnsi="Times New Roman" w:cs="Times New Roman"/>
                <w:b/>
                <w:bCs/>
                <w:iCs/>
              </w:rPr>
            </w:pPr>
            <w:r>
              <w:rPr>
                <w:rFonts w:ascii="Times New Roman" w:hAnsi="Times New Roman" w:cs="Times New Roman"/>
                <w:b/>
                <w:bCs/>
                <w:iCs/>
              </w:rPr>
              <w:t>Órgão/Unidade Orçamentária</w:t>
            </w:r>
          </w:p>
        </w:tc>
        <w:tc>
          <w:tcPr>
            <w:tcW w:w="2528" w:type="dxa"/>
            <w:shd w:val="clear" w:color="auto" w:fill="auto"/>
            <w:tcMar>
              <w:left w:w="108" w:type="dxa"/>
            </w:tcMar>
          </w:tcPr>
          <w:p w14:paraId="74E6D962" w14:textId="77777777" w:rsidR="0062027C" w:rsidRDefault="0062027C" w:rsidP="00EB12E9">
            <w:pPr>
              <w:pStyle w:val="PargrafodaLista"/>
              <w:spacing w:line="276" w:lineRule="auto"/>
              <w:ind w:left="0"/>
              <w:jc w:val="center"/>
              <w:rPr>
                <w:rFonts w:ascii="Times New Roman" w:hAnsi="Times New Roman" w:cs="Times New Roman"/>
                <w:b/>
                <w:bCs/>
                <w:iCs/>
              </w:rPr>
            </w:pPr>
            <w:r>
              <w:rPr>
                <w:rFonts w:ascii="Times New Roman" w:hAnsi="Times New Roman" w:cs="Times New Roman"/>
                <w:b/>
                <w:bCs/>
                <w:iCs/>
              </w:rPr>
              <w:t>Programa de Trabalho</w:t>
            </w:r>
          </w:p>
        </w:tc>
        <w:tc>
          <w:tcPr>
            <w:tcW w:w="1656" w:type="dxa"/>
            <w:shd w:val="clear" w:color="auto" w:fill="auto"/>
            <w:tcMar>
              <w:left w:w="108" w:type="dxa"/>
            </w:tcMar>
          </w:tcPr>
          <w:p w14:paraId="572E8D0B" w14:textId="77777777" w:rsidR="0062027C" w:rsidRDefault="0062027C" w:rsidP="00EB12E9">
            <w:pPr>
              <w:pStyle w:val="PargrafodaLista"/>
              <w:spacing w:line="276" w:lineRule="auto"/>
              <w:ind w:left="0"/>
              <w:jc w:val="center"/>
              <w:rPr>
                <w:rFonts w:ascii="Times New Roman" w:hAnsi="Times New Roman" w:cs="Times New Roman"/>
                <w:b/>
                <w:bCs/>
                <w:iCs/>
              </w:rPr>
            </w:pPr>
            <w:r>
              <w:rPr>
                <w:rFonts w:ascii="Times New Roman" w:hAnsi="Times New Roman" w:cs="Times New Roman"/>
                <w:b/>
                <w:bCs/>
                <w:iCs/>
              </w:rPr>
              <w:t>Fonte de Recursos</w:t>
            </w:r>
          </w:p>
        </w:tc>
        <w:tc>
          <w:tcPr>
            <w:tcW w:w="1630" w:type="dxa"/>
            <w:shd w:val="clear" w:color="auto" w:fill="auto"/>
            <w:tcMar>
              <w:left w:w="108" w:type="dxa"/>
            </w:tcMar>
          </w:tcPr>
          <w:p w14:paraId="2FE5D65C" w14:textId="77777777" w:rsidR="0062027C" w:rsidRDefault="0062027C" w:rsidP="00EB12E9">
            <w:pPr>
              <w:pStyle w:val="PargrafodaLista"/>
              <w:spacing w:line="276" w:lineRule="auto"/>
              <w:ind w:left="0"/>
              <w:jc w:val="center"/>
              <w:rPr>
                <w:rFonts w:ascii="Times New Roman" w:hAnsi="Times New Roman" w:cs="Times New Roman"/>
                <w:b/>
                <w:bCs/>
                <w:iCs/>
              </w:rPr>
            </w:pPr>
            <w:r>
              <w:rPr>
                <w:rFonts w:ascii="Times New Roman" w:hAnsi="Times New Roman" w:cs="Times New Roman"/>
                <w:b/>
                <w:bCs/>
                <w:iCs/>
              </w:rPr>
              <w:t>Natureza da Despesa</w:t>
            </w:r>
          </w:p>
        </w:tc>
      </w:tr>
      <w:tr w:rsidR="0062027C" w14:paraId="0E045FC2" w14:textId="77777777" w:rsidTr="0062027C">
        <w:trPr>
          <w:trHeight w:val="646"/>
          <w:jc w:val="center"/>
        </w:trPr>
        <w:tc>
          <w:tcPr>
            <w:tcW w:w="3253" w:type="dxa"/>
            <w:shd w:val="clear" w:color="auto" w:fill="auto"/>
            <w:tcMar>
              <w:left w:w="108" w:type="dxa"/>
            </w:tcMar>
            <w:vAlign w:val="center"/>
          </w:tcPr>
          <w:p w14:paraId="58B1A3D1" w14:textId="77777777" w:rsidR="0062027C" w:rsidRDefault="0062027C" w:rsidP="00EB12E9">
            <w:pPr>
              <w:pStyle w:val="PargrafodaLista"/>
              <w:spacing w:line="276" w:lineRule="auto"/>
              <w:ind w:left="0"/>
              <w:jc w:val="both"/>
              <w:rPr>
                <w:rFonts w:ascii="Times New Roman" w:hAnsi="Times New Roman" w:cs="Times New Roman"/>
                <w:iCs/>
              </w:rPr>
            </w:pPr>
            <w:r>
              <w:rPr>
                <w:rFonts w:ascii="Times New Roman" w:hAnsi="Times New Roman" w:cs="Times New Roman"/>
                <w:iCs/>
              </w:rPr>
              <w:t>Sec. de Infraestrutura e Logística</w:t>
            </w:r>
          </w:p>
          <w:p w14:paraId="31E677AC" w14:textId="77777777" w:rsidR="0062027C" w:rsidRDefault="0062027C" w:rsidP="00EB12E9">
            <w:pPr>
              <w:pStyle w:val="PargrafodaLista"/>
              <w:spacing w:line="276" w:lineRule="auto"/>
              <w:ind w:left="0"/>
              <w:jc w:val="both"/>
              <w:rPr>
                <w:rFonts w:ascii="Times New Roman" w:hAnsi="Times New Roman" w:cs="Times New Roman"/>
                <w:iCs/>
              </w:rPr>
            </w:pPr>
            <w:r>
              <w:rPr>
                <w:rFonts w:ascii="Times New Roman" w:hAnsi="Times New Roman" w:cs="Times New Roman"/>
                <w:iCs/>
              </w:rPr>
              <w:t>Secretaria de Obras</w:t>
            </w:r>
          </w:p>
          <w:p w14:paraId="7189C6CA" w14:textId="77777777" w:rsidR="0062027C" w:rsidRDefault="0062027C" w:rsidP="00EB12E9">
            <w:pPr>
              <w:pStyle w:val="PargrafodaLista"/>
              <w:spacing w:line="276" w:lineRule="auto"/>
              <w:ind w:left="0"/>
              <w:jc w:val="both"/>
              <w:rPr>
                <w:rFonts w:ascii="Times New Roman" w:hAnsi="Times New Roman" w:cs="Times New Roman"/>
                <w:iCs/>
              </w:rPr>
            </w:pPr>
            <w:r>
              <w:rPr>
                <w:rFonts w:ascii="Times New Roman" w:hAnsi="Times New Roman" w:cs="Times New Roman"/>
                <w:iCs/>
              </w:rPr>
              <w:t>Secretaria de Serviços Públicos</w:t>
            </w:r>
          </w:p>
        </w:tc>
        <w:tc>
          <w:tcPr>
            <w:tcW w:w="2528" w:type="dxa"/>
            <w:shd w:val="clear" w:color="auto" w:fill="auto"/>
            <w:tcMar>
              <w:left w:w="108" w:type="dxa"/>
            </w:tcMar>
            <w:vAlign w:val="center"/>
          </w:tcPr>
          <w:p w14:paraId="4D9C3442" w14:textId="77777777" w:rsidR="0062027C" w:rsidRDefault="0062027C" w:rsidP="00EB12E9">
            <w:pPr>
              <w:pStyle w:val="PargrafodaLista"/>
              <w:spacing w:line="276" w:lineRule="auto"/>
              <w:ind w:left="0"/>
              <w:jc w:val="center"/>
              <w:rPr>
                <w:rFonts w:ascii="Times New Roman" w:hAnsi="Times New Roman"/>
                <w:color w:val="000000" w:themeColor="text1"/>
              </w:rPr>
            </w:pPr>
            <w:r>
              <w:rPr>
                <w:rFonts w:ascii="Times New Roman" w:hAnsi="Times New Roman"/>
                <w:color w:val="000000" w:themeColor="text1"/>
              </w:rPr>
              <w:t>08003.0412200112.334</w:t>
            </w:r>
          </w:p>
          <w:p w14:paraId="7C8DB1FF" w14:textId="77777777" w:rsidR="0062027C" w:rsidRDefault="0062027C" w:rsidP="00EB12E9">
            <w:pPr>
              <w:pStyle w:val="PargrafodaLista"/>
              <w:spacing w:line="276" w:lineRule="auto"/>
              <w:ind w:left="0"/>
              <w:jc w:val="center"/>
              <w:rPr>
                <w:rFonts w:ascii="Times New Roman" w:hAnsi="Times New Roman" w:cs="Times New Roman"/>
                <w:iCs/>
              </w:rPr>
            </w:pPr>
            <w:r>
              <w:rPr>
                <w:rFonts w:ascii="Times New Roman" w:hAnsi="Times New Roman"/>
                <w:color w:val="000000" w:themeColor="text1"/>
              </w:rPr>
              <w:t>10001.0412200012.002</w:t>
            </w:r>
          </w:p>
          <w:p w14:paraId="62F284A9" w14:textId="77777777" w:rsidR="0062027C" w:rsidRDefault="0062027C" w:rsidP="00EB12E9">
            <w:pPr>
              <w:pStyle w:val="PargrafodaLista"/>
              <w:spacing w:line="276" w:lineRule="auto"/>
              <w:ind w:left="0"/>
              <w:jc w:val="center"/>
              <w:rPr>
                <w:rFonts w:ascii="Times New Roman" w:hAnsi="Times New Roman" w:cs="Times New Roman"/>
                <w:iCs/>
              </w:rPr>
            </w:pPr>
            <w:r>
              <w:rPr>
                <w:rFonts w:ascii="Times New Roman" w:hAnsi="Times New Roman"/>
                <w:color w:val="000000" w:themeColor="text1"/>
              </w:rPr>
              <w:t>09001.0412200012.002</w:t>
            </w:r>
          </w:p>
        </w:tc>
        <w:tc>
          <w:tcPr>
            <w:tcW w:w="1656" w:type="dxa"/>
            <w:shd w:val="clear" w:color="auto" w:fill="auto"/>
            <w:tcMar>
              <w:left w:w="108" w:type="dxa"/>
            </w:tcMar>
          </w:tcPr>
          <w:p w14:paraId="0CD83F82" w14:textId="77777777" w:rsidR="0062027C" w:rsidRDefault="0062027C" w:rsidP="00EB12E9">
            <w:pPr>
              <w:pStyle w:val="PargrafodaLista"/>
              <w:overflowPunct w:val="0"/>
              <w:spacing w:line="276" w:lineRule="auto"/>
              <w:ind w:left="0"/>
              <w:jc w:val="both"/>
              <w:rPr>
                <w:rFonts w:ascii="Times New Roman" w:hAnsi="Times New Roman"/>
                <w:color w:val="000000" w:themeColor="text1"/>
              </w:rPr>
            </w:pPr>
            <w:r>
              <w:rPr>
                <w:rFonts w:ascii="Times New Roman" w:hAnsi="Times New Roman"/>
                <w:color w:val="000000" w:themeColor="text1"/>
              </w:rPr>
              <w:t xml:space="preserve">150000000000 </w:t>
            </w:r>
          </w:p>
          <w:p w14:paraId="5F091838" w14:textId="77777777" w:rsidR="0062027C" w:rsidRDefault="0062027C" w:rsidP="00EB12E9">
            <w:pPr>
              <w:pStyle w:val="PargrafodaLista"/>
              <w:overflowPunct w:val="0"/>
              <w:spacing w:line="276" w:lineRule="auto"/>
              <w:ind w:left="0"/>
              <w:jc w:val="both"/>
              <w:rPr>
                <w:rFonts w:ascii="Times New Roman" w:hAnsi="Times New Roman" w:cs="Times New Roman"/>
                <w:iCs/>
              </w:rPr>
            </w:pPr>
            <w:r>
              <w:rPr>
                <w:rFonts w:ascii="Times New Roman" w:hAnsi="Times New Roman"/>
                <w:color w:val="000000" w:themeColor="text1"/>
              </w:rPr>
              <w:t xml:space="preserve">170500000020 </w:t>
            </w:r>
          </w:p>
          <w:p w14:paraId="7AF30CCF" w14:textId="77777777" w:rsidR="0062027C" w:rsidRDefault="0062027C" w:rsidP="00EB12E9">
            <w:pPr>
              <w:pStyle w:val="PargrafodaLista"/>
              <w:overflowPunct w:val="0"/>
              <w:spacing w:line="276" w:lineRule="auto"/>
              <w:ind w:left="0"/>
              <w:jc w:val="both"/>
              <w:rPr>
                <w:rFonts w:ascii="Times New Roman" w:hAnsi="Times New Roman" w:cs="Times New Roman"/>
                <w:iCs/>
              </w:rPr>
            </w:pPr>
            <w:r>
              <w:rPr>
                <w:rFonts w:ascii="Times New Roman" w:hAnsi="Times New Roman"/>
                <w:color w:val="000000" w:themeColor="text1"/>
              </w:rPr>
              <w:t xml:space="preserve">150100000000 </w:t>
            </w:r>
          </w:p>
          <w:p w14:paraId="593F53B0" w14:textId="77777777" w:rsidR="0062027C" w:rsidRDefault="0062027C" w:rsidP="00EB12E9">
            <w:pPr>
              <w:pStyle w:val="PargrafodaLista"/>
              <w:overflowPunct w:val="0"/>
              <w:spacing w:line="276" w:lineRule="auto"/>
              <w:ind w:left="0"/>
              <w:jc w:val="both"/>
              <w:rPr>
                <w:rFonts w:ascii="Times New Roman" w:hAnsi="Times New Roman"/>
                <w:color w:val="000000" w:themeColor="text1"/>
              </w:rPr>
            </w:pPr>
            <w:r>
              <w:rPr>
                <w:rFonts w:ascii="Times New Roman" w:hAnsi="Times New Roman"/>
                <w:color w:val="000000" w:themeColor="text1"/>
              </w:rPr>
              <w:t>170400000017</w:t>
            </w:r>
          </w:p>
        </w:tc>
        <w:tc>
          <w:tcPr>
            <w:tcW w:w="1630" w:type="dxa"/>
            <w:shd w:val="clear" w:color="auto" w:fill="auto"/>
            <w:tcMar>
              <w:left w:w="108" w:type="dxa"/>
            </w:tcMar>
            <w:vAlign w:val="center"/>
          </w:tcPr>
          <w:p w14:paraId="6D7A75C1" w14:textId="77777777" w:rsidR="0062027C" w:rsidRDefault="0062027C" w:rsidP="00EB12E9">
            <w:pPr>
              <w:pStyle w:val="PargrafodaLista"/>
              <w:spacing w:line="276" w:lineRule="auto"/>
              <w:ind w:left="0"/>
              <w:jc w:val="center"/>
              <w:rPr>
                <w:rFonts w:ascii="Times New Roman" w:hAnsi="Times New Roman" w:cs="Times New Roman"/>
                <w:iCs/>
              </w:rPr>
            </w:pPr>
            <w:r>
              <w:rPr>
                <w:rFonts w:ascii="Times New Roman" w:hAnsi="Times New Roman" w:cs="Times New Roman"/>
                <w:color w:val="000000" w:themeColor="text1"/>
              </w:rPr>
              <w:t>33.90.39.15</w:t>
            </w:r>
          </w:p>
        </w:tc>
      </w:tr>
    </w:tbl>
    <w:p w14:paraId="58DA45A7" w14:textId="77777777" w:rsidR="0062027C" w:rsidRDefault="0062027C" w:rsidP="0062027C">
      <w:pPr>
        <w:widowControl/>
        <w:numPr>
          <w:ilvl w:val="1"/>
          <w:numId w:val="11"/>
        </w:numPr>
        <w:suppressAutoHyphens/>
        <w:autoSpaceDE/>
        <w:autoSpaceDN/>
        <w:spacing w:line="360" w:lineRule="auto"/>
        <w:ind w:left="0" w:firstLine="0"/>
        <w:jc w:val="both"/>
      </w:pPr>
      <w:r>
        <w:t xml:space="preserve">A dotação relativa </w:t>
      </w:r>
      <w:r>
        <w:rPr>
          <w:color w:val="000000" w:themeColor="text1"/>
        </w:rPr>
        <w:t>aos exercícios financeiros subsequentes será indicada após aprovação da Lei Orçamentária respectiva e liberação dos créditos correspondentes, mediante apostilamento.</w:t>
      </w:r>
    </w:p>
    <w:p w14:paraId="120C7BB4" w14:textId="6B92196C" w:rsidR="00D90EA5" w:rsidRDefault="00D90EA5" w:rsidP="00F262A1">
      <w:pPr>
        <w:pStyle w:val="Nivel01"/>
        <w:numPr>
          <w:ilvl w:val="0"/>
          <w:numId w:val="11"/>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62027C">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F262A1">
      <w:pPr>
        <w:pStyle w:val="PargrafodaLista"/>
        <w:numPr>
          <w:ilvl w:val="1"/>
          <w:numId w:val="11"/>
        </w:numPr>
        <w:tabs>
          <w:tab w:val="left" w:pos="426"/>
        </w:tabs>
        <w:ind w:left="0" w:firstLine="0"/>
        <w:jc w:val="both"/>
        <w:rPr>
          <w:color w:val="000000"/>
        </w:rPr>
      </w:pPr>
      <w:r>
        <w:t xml:space="preserve">Eventuais alterações </w:t>
      </w:r>
      <w:r w:rsidRPr="00D90EA5">
        <w:rPr>
          <w:lang w:val="pt-BR"/>
        </w:rPr>
        <w:t>contratuais</w:t>
      </w:r>
      <w:r>
        <w:t xml:space="preserve"> reger-se-ão pela disciplina dos </w:t>
      </w:r>
      <w:hyperlink r:id="rId25" w:anchor="art124" w:history="1">
        <w:r>
          <w:rPr>
            <w:rStyle w:val="Hyperlink"/>
          </w:rPr>
          <w:t>arts. 124 e seguintes da Lei nº 14.133, de 2021</w:t>
        </w:r>
      </w:hyperlink>
      <w:r>
        <w:t>.</w:t>
      </w:r>
    </w:p>
    <w:p w14:paraId="074A5C54" w14:textId="77777777" w:rsidR="00D90EA5" w:rsidRDefault="00D90EA5" w:rsidP="00F262A1">
      <w:pPr>
        <w:pStyle w:val="PargrafodaLista"/>
        <w:numPr>
          <w:ilvl w:val="1"/>
          <w:numId w:val="11"/>
        </w:numPr>
        <w:tabs>
          <w:tab w:val="left" w:pos="426"/>
        </w:tabs>
        <w:ind w:left="0" w:firstLine="0"/>
        <w:jc w:val="both"/>
      </w:pPr>
      <w:r>
        <w:t xml:space="preserve">O contratado é </w:t>
      </w:r>
      <w:r w:rsidRPr="00D90EA5">
        <w:rPr>
          <w:lang w:val="pt-BR"/>
        </w:rPr>
        <w:t>obrigado</w:t>
      </w:r>
      <w: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D90EA5" w:rsidRDefault="00D90EA5" w:rsidP="00F262A1">
      <w:pPr>
        <w:pStyle w:val="PargrafodaLista"/>
        <w:numPr>
          <w:ilvl w:val="1"/>
          <w:numId w:val="11"/>
        </w:numPr>
        <w:tabs>
          <w:tab w:val="left" w:pos="426"/>
        </w:tabs>
        <w:ind w:left="0" w:firstLine="0"/>
        <w:jc w:val="both"/>
      </w:pPr>
      <w:r w:rsidRPr="00D90EA5">
        <w:t xml:space="preserve">As alterações contratuais deverão ser promovidas mediante celebração de termo aditivo, submetido à prévia aprovação da consultoria jurídica do contratante, salvo nos casos de justificada necessidade de </w:t>
      </w:r>
      <w:r w:rsidRPr="00D90EA5">
        <w:rPr>
          <w:lang w:val="pt-BR"/>
        </w:rPr>
        <w:t>antecipação</w:t>
      </w:r>
      <w:r w:rsidRPr="00D90EA5">
        <w:t xml:space="preserve"> de seus efeitos, hipótese em que a formalização do aditivo deverá ocorrer no prazo máximo de 1 (um) mês (art. 132 da Lei nº 14.133, de 2021).</w:t>
      </w:r>
    </w:p>
    <w:p w14:paraId="7727C736" w14:textId="77777777" w:rsidR="00D90EA5" w:rsidRPr="00D90EA5" w:rsidRDefault="00D90EA5" w:rsidP="00F262A1">
      <w:pPr>
        <w:pStyle w:val="PargrafodaLista"/>
        <w:numPr>
          <w:ilvl w:val="1"/>
          <w:numId w:val="11"/>
        </w:numPr>
        <w:tabs>
          <w:tab w:val="left" w:pos="426"/>
        </w:tabs>
        <w:ind w:left="0" w:firstLine="0"/>
        <w:jc w:val="both"/>
      </w:pPr>
      <w:r w:rsidRPr="00D90EA5">
        <w:t xml:space="preserve">Registros que não caracterizam alteração do contrato podem ser realizados por simples apostila, dispensada a celebração de termo aditivo, na forma do </w:t>
      </w:r>
      <w:hyperlink r:id="rId26" w:anchor="art136" w:history="1">
        <w:r w:rsidRPr="00D90EA5">
          <w:rPr>
            <w:rStyle w:val="Hyperlink"/>
          </w:rPr>
          <w:t>art. 136 da Lei nº 14.133, de 2021</w:t>
        </w:r>
      </w:hyperlink>
      <w:r w:rsidRPr="00D90EA5">
        <w:t>.</w:t>
      </w:r>
    </w:p>
    <w:p w14:paraId="59A5E521" w14:textId="055BBF60" w:rsidR="002E43FD" w:rsidRPr="002E43FD" w:rsidRDefault="002E43FD" w:rsidP="002E43FD">
      <w:pPr>
        <w:pStyle w:val="PargrafodaLista"/>
        <w:widowControl/>
        <w:tabs>
          <w:tab w:val="left" w:pos="426"/>
        </w:tabs>
        <w:autoSpaceDE/>
        <w:autoSpaceDN/>
        <w:spacing w:before="120" w:after="120" w:line="276" w:lineRule="auto"/>
        <w:ind w:left="0"/>
        <w:jc w:val="both"/>
      </w:pPr>
    </w:p>
    <w:p w14:paraId="0217FC09" w14:textId="1702F695" w:rsidR="00885E3B" w:rsidRPr="00E04B75" w:rsidRDefault="00885E3B" w:rsidP="00F262A1">
      <w:pPr>
        <w:pStyle w:val="Nivel010"/>
        <w:numPr>
          <w:ilvl w:val="0"/>
          <w:numId w:val="11"/>
        </w:numPr>
        <w:rPr>
          <w:color w:val="FFFFFF" w:themeColor="background1"/>
          <w:sz w:val="22"/>
          <w:szCs w:val="22"/>
        </w:rPr>
      </w:pPr>
      <w:r w:rsidRPr="00E04B75">
        <w:rPr>
          <w:sz w:val="22"/>
          <w:szCs w:val="22"/>
        </w:rPr>
        <w:t xml:space="preserve">CLÁUSULA DÉCIMA </w:t>
      </w:r>
      <w:r w:rsidR="0062027C">
        <w:rPr>
          <w:sz w:val="22"/>
          <w:szCs w:val="22"/>
        </w:rPr>
        <w:t>QUINTA</w:t>
      </w:r>
      <w:r w:rsidRPr="00E04B75">
        <w:rPr>
          <w:sz w:val="22"/>
          <w:szCs w:val="22"/>
        </w:rPr>
        <w:t xml:space="preserve"> – PUBLICAÇÃO</w:t>
      </w:r>
    </w:p>
    <w:p w14:paraId="6D2C9166" w14:textId="77777777" w:rsidR="00885E3B" w:rsidRPr="00C80C6C" w:rsidRDefault="00885E3B" w:rsidP="00F262A1">
      <w:pPr>
        <w:pStyle w:val="PargrafodaLista"/>
        <w:numPr>
          <w:ilvl w:val="1"/>
          <w:numId w:val="11"/>
        </w:numPr>
        <w:tabs>
          <w:tab w:val="left" w:pos="426"/>
        </w:tabs>
        <w:ind w:left="0" w:firstLine="0"/>
        <w:jc w:val="both"/>
      </w:pPr>
      <w:r w:rsidRPr="00E04B75">
        <w:t xml:space="preserve">Incumbirá ao contratante divulgar o presente instrumento no Portal </w:t>
      </w:r>
      <w:r w:rsidRPr="00C80C6C">
        <w:t xml:space="preserve">Nacional de Contratações Públicas (PNCP), na forma prevista no </w:t>
      </w:r>
      <w:hyperlink r:id="rId27" w:anchor="art94" w:history="1">
        <w:r w:rsidRPr="00C80C6C">
          <w:rPr>
            <w:rStyle w:val="Hyperlink"/>
          </w:rPr>
          <w:t>art. 94 da Lei 14.133, de 2021</w:t>
        </w:r>
      </w:hyperlink>
      <w:r w:rsidRPr="00C80C6C">
        <w:t xml:space="preserve">, bem como no respectivo sítio oficial na Internet, em atenção ao art. 91, </w:t>
      </w:r>
      <w:r w:rsidRPr="00C80C6C">
        <w:rPr>
          <w:i/>
        </w:rPr>
        <w:t>caput,</w:t>
      </w:r>
      <w:r w:rsidRPr="00C80C6C">
        <w:t xml:space="preserve"> da Lei n.º 14.133, de 2021, e ao </w:t>
      </w:r>
      <w:hyperlink r:id="rId28" w:anchor="art8§2" w:history="1">
        <w:r w:rsidRPr="00C80C6C">
          <w:rPr>
            <w:rStyle w:val="Hyperlink"/>
          </w:rPr>
          <w:t xml:space="preserve">art. 8º, §2º, da Lei n. 12.527, de </w:t>
        </w:r>
        <w:r w:rsidRPr="00C80C6C">
          <w:rPr>
            <w:rStyle w:val="Hyperlink"/>
          </w:rPr>
          <w:lastRenderedPageBreak/>
          <w:t>2011</w:t>
        </w:r>
      </w:hyperlink>
      <w:r w:rsidRPr="00C80C6C">
        <w:t xml:space="preserve">, c/c </w:t>
      </w:r>
      <w:hyperlink r:id="rId29" w:anchor="art7§3" w:history="1">
        <w:r w:rsidRPr="00C80C6C">
          <w:rPr>
            <w:rStyle w:val="Hyperlink"/>
          </w:rPr>
          <w:t>art. 7º, §3º, inciso V, do Decreto n. 7.724, de 2012</w:t>
        </w:r>
      </w:hyperlink>
      <w:r w:rsidRPr="00C80C6C">
        <w:t>.</w:t>
      </w:r>
    </w:p>
    <w:p w14:paraId="431F5E12" w14:textId="75CD0390" w:rsidR="00885E3B" w:rsidRPr="00C80C6C" w:rsidRDefault="000F2826" w:rsidP="00F262A1">
      <w:pPr>
        <w:pStyle w:val="Nivel010"/>
        <w:numPr>
          <w:ilvl w:val="0"/>
          <w:numId w:val="11"/>
        </w:numPr>
        <w:rPr>
          <w:sz w:val="22"/>
          <w:szCs w:val="22"/>
        </w:rPr>
      </w:pPr>
      <w:r w:rsidRPr="00C80C6C">
        <w:rPr>
          <w:sz w:val="22"/>
          <w:szCs w:val="22"/>
        </w:rPr>
        <w:t xml:space="preserve">- </w:t>
      </w:r>
      <w:r w:rsidR="00885E3B" w:rsidRPr="00C80C6C">
        <w:rPr>
          <w:sz w:val="22"/>
          <w:szCs w:val="22"/>
        </w:rPr>
        <w:t xml:space="preserve">CLÁUSULA DÉCIMA </w:t>
      </w:r>
      <w:r w:rsidR="0062027C">
        <w:rPr>
          <w:sz w:val="22"/>
          <w:szCs w:val="22"/>
        </w:rPr>
        <w:t>SEXTA</w:t>
      </w:r>
      <w:r w:rsidR="00885E3B" w:rsidRPr="00C80C6C">
        <w:rPr>
          <w:sz w:val="22"/>
          <w:szCs w:val="22"/>
        </w:rPr>
        <w:t>– FORO (</w:t>
      </w:r>
      <w:hyperlink r:id="rId30"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F262A1">
      <w:pPr>
        <w:pStyle w:val="PargrafodaLista"/>
        <w:numPr>
          <w:ilvl w:val="1"/>
          <w:numId w:val="11"/>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F262A1">
      <w:pPr>
        <w:pStyle w:val="PargrafodaLista"/>
        <w:numPr>
          <w:ilvl w:val="1"/>
          <w:numId w:val="11"/>
        </w:numPr>
        <w:tabs>
          <w:tab w:val="left" w:pos="426"/>
        </w:tabs>
        <w:ind w:left="0" w:firstLine="0"/>
        <w:jc w:val="both"/>
        <w:rPr>
          <w:rFonts w:ascii="Arial" w:hAnsi="Arial" w:cs="Arial"/>
        </w:rPr>
      </w:pPr>
      <w:r w:rsidRPr="0062027C">
        <w:rPr>
          <w:rFonts w:ascii="Arial" w:hAnsi="Arial" w:cs="Arial"/>
        </w:rPr>
        <w:t xml:space="preserve">Para firmeza e </w:t>
      </w:r>
      <w:r w:rsidRPr="0062027C">
        <w:t>validade</w:t>
      </w:r>
      <w:r w:rsidRPr="0062027C">
        <w:rPr>
          <w:rFonts w:ascii="Arial" w:hAnsi="Arial" w:cs="Arial"/>
        </w:rPr>
        <w:t xml:space="preserve"> do pactuado, o presente Termo de Contrato foi lavrado em </w:t>
      </w:r>
      <w:r w:rsidR="00466BF6" w:rsidRPr="0062027C">
        <w:rPr>
          <w:rFonts w:ascii="Arial" w:hAnsi="Arial" w:cs="Arial"/>
        </w:rPr>
        <w:t>03</w:t>
      </w:r>
      <w:r w:rsidRPr="0062027C">
        <w:rPr>
          <w:rFonts w:ascii="Arial" w:hAnsi="Arial" w:cs="Arial"/>
        </w:rPr>
        <w:t xml:space="preserve"> (</w:t>
      </w:r>
      <w:r w:rsidR="00466BF6" w:rsidRPr="0062027C">
        <w:rPr>
          <w:rFonts w:ascii="Arial" w:hAnsi="Arial" w:cs="Arial"/>
        </w:rPr>
        <w:t>três</w:t>
      </w:r>
      <w:r w:rsidRPr="0062027C">
        <w:rPr>
          <w:rFonts w:ascii="Arial" w:hAnsi="Arial" w:cs="Arial"/>
        </w:rPr>
        <w:t xml:space="preserve">) vias de </w:t>
      </w:r>
      <w:r w:rsidRPr="009872FB">
        <w:rPr>
          <w:rFonts w:ascii="Arial" w:hAnsi="Arial" w:cs="Arial"/>
        </w:rPr>
        <w:t xml:space="preserve">igual teor, que, depois de lido e achado em ordem, vai assinado pelos contraentes. </w:t>
      </w:r>
    </w:p>
    <w:p w14:paraId="01908919" w14:textId="5B4F89F0"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62027C">
        <w:rPr>
          <w:rFonts w:ascii="Arial" w:hAnsi="Arial" w:cs="Arial"/>
        </w:rPr>
        <w:t>24.</w:t>
      </w: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D704C29" w14:textId="77777777" w:rsidR="008A4C16" w:rsidRDefault="0055035E" w:rsidP="001F44F7">
      <w:pPr>
        <w:spacing w:after="120"/>
        <w:jc w:val="both"/>
        <w:rPr>
          <w:rFonts w:ascii="Arial" w:hAnsi="Arial" w:cs="Arial"/>
        </w:rPr>
      </w:pPr>
      <w:r>
        <w:rPr>
          <w:rFonts w:ascii="Arial" w:hAnsi="Arial" w:cs="Arial"/>
        </w:rPr>
        <w:t>1-</w:t>
      </w:r>
    </w:p>
    <w:p w14:paraId="532382A8" w14:textId="1826987D"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E975CF">
      <w:headerReference w:type="default" r:id="rId31"/>
      <w:footerReference w:type="default" r:id="rId32"/>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0E127C" w14:textId="77777777" w:rsidR="00150425" w:rsidRDefault="00150425">
      <w:r>
        <w:separator/>
      </w:r>
    </w:p>
  </w:endnote>
  <w:endnote w:type="continuationSeparator" w:id="0">
    <w:p w14:paraId="26586441" w14:textId="77777777" w:rsidR="00150425" w:rsidRDefault="001504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02E612EE" w14:textId="77777777" w:rsidR="00E975CF"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Telefone: (22) </w:t>
    </w:r>
    <w:r w:rsidR="00E975CF">
      <w:rPr>
        <w:rFonts w:ascii="Arial" w:hAnsi="Arial" w:cs="Arial"/>
        <w:color w:val="000000"/>
        <w:sz w:val="18"/>
        <w:szCs w:val="18"/>
      </w:rPr>
      <w:t xml:space="preserve">2525-9100 – </w:t>
    </w:r>
  </w:p>
  <w:p w14:paraId="60D26642" w14:textId="11A1AFE8" w:rsidR="008743A2" w:rsidRPr="00C634F1" w:rsidRDefault="00E975CF"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E329B2" w14:textId="77777777" w:rsidR="00150425" w:rsidRDefault="00150425">
      <w:r>
        <w:separator/>
      </w:r>
    </w:p>
  </w:footnote>
  <w:footnote w:type="continuationSeparator" w:id="0">
    <w:p w14:paraId="37FB1F58" w14:textId="77777777" w:rsidR="00150425" w:rsidRDefault="001504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476A4" w14:textId="77777777" w:rsidR="00E975CF" w:rsidRPr="00353461" w:rsidRDefault="00E975CF" w:rsidP="00E975CF">
    <w:pPr>
      <w:pStyle w:val="Cabealho"/>
      <w:ind w:left="142" w:hanging="426"/>
    </w:pPr>
    <w:r>
      <w:rPr>
        <w:noProof/>
      </w:rPr>
      <mc:AlternateContent>
        <mc:Choice Requires="wps">
          <w:drawing>
            <wp:anchor distT="0" distB="0" distL="114300" distR="114300" simplePos="0" relativeHeight="251659264" behindDoc="1" locked="0" layoutInCell="1" allowOverlap="1" wp14:anchorId="21D8589B" wp14:editId="03CC02DC">
              <wp:simplePos x="0" y="0"/>
              <wp:positionH relativeFrom="column">
                <wp:posOffset>4055745</wp:posOffset>
              </wp:positionH>
              <wp:positionV relativeFrom="paragraph">
                <wp:posOffset>219710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053EB0ED" w14:textId="77777777" w:rsidR="00E975CF" w:rsidRDefault="00E975CF" w:rsidP="00E975CF">
                          <w:pPr>
                            <w:pStyle w:val="SemEspaamento"/>
                          </w:pPr>
                          <w:r>
                            <w:rPr>
                              <w:rFonts w:cs="Calibri"/>
                              <w:sz w:val="20"/>
                              <w:szCs w:val="20"/>
                            </w:rPr>
                            <w:t>PROCESSO Nº: 1.615/2024</w:t>
                          </w:r>
                        </w:p>
                        <w:p w14:paraId="51161584" w14:textId="77777777" w:rsidR="00E975CF" w:rsidRDefault="00E975CF" w:rsidP="00E975CF">
                          <w:pPr>
                            <w:pStyle w:val="SemEspaamento"/>
                          </w:pPr>
                        </w:p>
                        <w:p w14:paraId="5744433E" w14:textId="77777777" w:rsidR="00E975CF" w:rsidRDefault="00E975CF" w:rsidP="00E975CF">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1D8589B" id="Retângulo 3" o:spid="_x0000_s1026" style="position:absolute;left:0;text-align:left;margin-left:319.35pt;margin-top:17.3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" strokeweight=".26mm">
              <v:stroke joinstyle="round"/>
              <v:path arrowok="t"/>
              <v:textbox>
                <w:txbxContent>
                  <w:p w14:paraId="053EB0ED" w14:textId="77777777" w:rsidR="00E975CF" w:rsidRDefault="00E975CF" w:rsidP="00E975CF">
                    <w:pPr>
                      <w:pStyle w:val="SemEspaamento"/>
                    </w:pPr>
                    <w:r>
                      <w:rPr>
                        <w:rFonts w:cs="Calibri"/>
                        <w:sz w:val="20"/>
                        <w:szCs w:val="20"/>
                      </w:rPr>
                      <w:t>PROCESSO Nº: 1.615/2024</w:t>
                    </w:r>
                  </w:p>
                  <w:p w14:paraId="51161584" w14:textId="77777777" w:rsidR="00E975CF" w:rsidRDefault="00E975CF" w:rsidP="00E975CF">
                    <w:pPr>
                      <w:pStyle w:val="SemEspaamento"/>
                    </w:pPr>
                  </w:p>
                  <w:p w14:paraId="5744433E" w14:textId="77777777" w:rsidR="00E975CF" w:rsidRDefault="00E975CF" w:rsidP="00E975CF">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44966F83" wp14:editId="5A40DA44">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3408BB34" w14:textId="218F07FC" w:rsidR="008743A2" w:rsidRDefault="008743A2" w:rsidP="00BB408F"/>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Times New Roman" w:hAnsi="Times New Roman" w:cs="Times New Roman" w:hint="default"/>
        <w:b/>
        <w:bCs/>
        <w:sz w:val="28"/>
        <w:szCs w:val="28"/>
      </w:rPr>
    </w:lvl>
    <w:lvl w:ilvl="1">
      <w:start w:val="1"/>
      <w:numFmt w:val="decimal"/>
      <w:suff w:val="space"/>
      <w:lvlText w:val="%1.%2"/>
      <w:lvlJc w:val="left"/>
      <w:pPr>
        <w:ind w:left="0" w:firstLine="0"/>
      </w:pPr>
      <w:rPr>
        <w:rFonts w:hint="default"/>
        <w:b/>
        <w:bCs/>
        <w:color w:val="auto"/>
        <w:sz w:val="22"/>
        <w:szCs w:val="22"/>
      </w:rPr>
    </w:lvl>
    <w:lvl w:ilvl="2">
      <w:start w:val="1"/>
      <w:numFmt w:val="decimal"/>
      <w:suff w:val="space"/>
      <w:lvlText w:val="%1.%2.%3"/>
      <w:lvlJc w:val="left"/>
      <w:pPr>
        <w:ind w:left="0" w:firstLine="0"/>
      </w:pPr>
      <w:rPr>
        <w:rFonts w:hint="default"/>
        <w:b/>
        <w:bCs/>
        <w:sz w:val="22"/>
        <w:szCs w:val="22"/>
      </w:rPr>
    </w:lvl>
    <w:lvl w:ilvl="3">
      <w:start w:val="1"/>
      <w:numFmt w:val="decimal"/>
      <w:suff w:val="space"/>
      <w:lvlText w:val="%1.%2.%3.%4"/>
      <w:lvlJc w:val="left"/>
      <w:pPr>
        <w:ind w:left="0" w:firstLine="0"/>
      </w:pPr>
      <w:rPr>
        <w:rFonts w:hint="default"/>
        <w:b/>
        <w:bCs/>
      </w:rPr>
    </w:lvl>
    <w:lvl w:ilvl="4">
      <w:start w:val="1"/>
      <w:numFmt w:val="decimal"/>
      <w:suff w:val="space"/>
      <w:lvlText w:val="%1.%2.%3.%4.%5"/>
      <w:lvlJc w:val="left"/>
      <w:pPr>
        <w:ind w:left="0" w:firstLine="0"/>
      </w:pPr>
      <w:rPr>
        <w:rFonts w:hint="default"/>
        <w:b/>
        <w:bCs/>
      </w:r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41BE4F0A"/>
    <w:multiLevelType w:val="multilevel"/>
    <w:tmpl w:val="E60882DE"/>
    <w:lvl w:ilvl="0">
      <w:start w:val="3"/>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4EE0303C"/>
    <w:multiLevelType w:val="multilevel"/>
    <w:tmpl w:val="92985076"/>
    <w:lvl w:ilvl="0">
      <w:start w:val="3"/>
      <w:numFmt w:val="decimal"/>
      <w:lvlText w:val="%1"/>
      <w:lvlJc w:val="left"/>
      <w:pPr>
        <w:ind w:left="480" w:hanging="480"/>
      </w:pPr>
      <w:rPr>
        <w:rFonts w:ascii="Arial" w:hAnsi="Arial" w:cs="Arial" w:hint="default"/>
        <w:color w:val="auto"/>
        <w:sz w:val="22"/>
        <w:szCs w:val="22"/>
      </w:rPr>
    </w:lvl>
    <w:lvl w:ilvl="1">
      <w:start w:val="1"/>
      <w:numFmt w:val="decimal"/>
      <w:lvlText w:val="%1.%2"/>
      <w:lvlJc w:val="left"/>
      <w:pPr>
        <w:ind w:left="480" w:hanging="480"/>
      </w:pPr>
      <w:rPr>
        <w:rFonts w:hint="default"/>
        <w:i w:val="0"/>
        <w:iCs w:val="0"/>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1" w15:restartNumberingAfterBreak="0">
    <w:nsid w:val="75494E65"/>
    <w:multiLevelType w:val="multilevel"/>
    <w:tmpl w:val="75494E65"/>
    <w:lvl w:ilvl="0">
      <w:start w:val="1"/>
      <w:numFmt w:val="bullet"/>
      <w:lvlText w:val="-"/>
      <w:lvlJc w:val="left"/>
      <w:pPr>
        <w:tabs>
          <w:tab w:val="left" w:pos="1440"/>
        </w:tabs>
        <w:ind w:left="1440" w:hanging="360"/>
      </w:pPr>
      <w:rPr>
        <w:rFonts w:ascii="Arial" w:hAnsi="Arial" w:cs="Aria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2"/>
  </w:num>
  <w:num w:numId="7">
    <w:abstractNumId w:val="4"/>
  </w:num>
  <w:num w:numId="8">
    <w:abstractNumId w:val="10"/>
  </w:num>
  <w:num w:numId="9">
    <w:abstractNumId w:val="7"/>
  </w:num>
  <w:num w:numId="10">
    <w:abstractNumId w:val="1"/>
  </w:num>
  <w:num w:numId="11">
    <w:abstractNumId w:val="9"/>
  </w:num>
  <w:num w:numId="12">
    <w:abstractNumId w:val="8"/>
  </w:num>
  <w:num w:numId="13">
    <w:abstractNumId w:val="1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E4CF2"/>
    <w:rsid w:val="000E4D70"/>
    <w:rsid w:val="000E6000"/>
    <w:rsid w:val="000E684C"/>
    <w:rsid w:val="000E6DAE"/>
    <w:rsid w:val="000E7AEB"/>
    <w:rsid w:val="000F0F17"/>
    <w:rsid w:val="000F2826"/>
    <w:rsid w:val="000F46E9"/>
    <w:rsid w:val="000F4D4D"/>
    <w:rsid w:val="000F5D11"/>
    <w:rsid w:val="00100FEB"/>
    <w:rsid w:val="0010179C"/>
    <w:rsid w:val="00102A53"/>
    <w:rsid w:val="001079D7"/>
    <w:rsid w:val="001149D8"/>
    <w:rsid w:val="001272CC"/>
    <w:rsid w:val="00130DCF"/>
    <w:rsid w:val="00134FCE"/>
    <w:rsid w:val="00135F0B"/>
    <w:rsid w:val="0014449B"/>
    <w:rsid w:val="00147B9F"/>
    <w:rsid w:val="00150425"/>
    <w:rsid w:val="0015173F"/>
    <w:rsid w:val="0015751B"/>
    <w:rsid w:val="00165D70"/>
    <w:rsid w:val="001767E4"/>
    <w:rsid w:val="00185DBF"/>
    <w:rsid w:val="00187C1B"/>
    <w:rsid w:val="00193060"/>
    <w:rsid w:val="001A0D41"/>
    <w:rsid w:val="001A1733"/>
    <w:rsid w:val="001B5037"/>
    <w:rsid w:val="001C7234"/>
    <w:rsid w:val="001D1890"/>
    <w:rsid w:val="001D32DF"/>
    <w:rsid w:val="001D4AC3"/>
    <w:rsid w:val="001E0962"/>
    <w:rsid w:val="001E3568"/>
    <w:rsid w:val="001E6DD7"/>
    <w:rsid w:val="001F0B5B"/>
    <w:rsid w:val="001F44F7"/>
    <w:rsid w:val="00204C8A"/>
    <w:rsid w:val="00205048"/>
    <w:rsid w:val="00205972"/>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1C60"/>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1F0F"/>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30E6"/>
    <w:rsid w:val="005548E3"/>
    <w:rsid w:val="00557CD0"/>
    <w:rsid w:val="0056221F"/>
    <w:rsid w:val="00563586"/>
    <w:rsid w:val="00564A89"/>
    <w:rsid w:val="00571224"/>
    <w:rsid w:val="005722A3"/>
    <w:rsid w:val="00594591"/>
    <w:rsid w:val="005C402B"/>
    <w:rsid w:val="005D7CC0"/>
    <w:rsid w:val="005E0C5A"/>
    <w:rsid w:val="005E2922"/>
    <w:rsid w:val="005E753D"/>
    <w:rsid w:val="005F054B"/>
    <w:rsid w:val="005F5E8D"/>
    <w:rsid w:val="005F6177"/>
    <w:rsid w:val="00604469"/>
    <w:rsid w:val="00612436"/>
    <w:rsid w:val="006142F9"/>
    <w:rsid w:val="00617943"/>
    <w:rsid w:val="00617E05"/>
    <w:rsid w:val="0062027C"/>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060A"/>
    <w:rsid w:val="006C7188"/>
    <w:rsid w:val="006D48A5"/>
    <w:rsid w:val="006D4909"/>
    <w:rsid w:val="006D6562"/>
    <w:rsid w:val="006E5958"/>
    <w:rsid w:val="006E635F"/>
    <w:rsid w:val="006F0ECE"/>
    <w:rsid w:val="00702AFA"/>
    <w:rsid w:val="007168B3"/>
    <w:rsid w:val="00722F56"/>
    <w:rsid w:val="007270C7"/>
    <w:rsid w:val="00735ADD"/>
    <w:rsid w:val="00737BA9"/>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4C16"/>
    <w:rsid w:val="008A72D1"/>
    <w:rsid w:val="008B1D7C"/>
    <w:rsid w:val="008B71AC"/>
    <w:rsid w:val="008C091E"/>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25D97"/>
    <w:rsid w:val="00C47458"/>
    <w:rsid w:val="00C54DFB"/>
    <w:rsid w:val="00C55376"/>
    <w:rsid w:val="00C55896"/>
    <w:rsid w:val="00C60F34"/>
    <w:rsid w:val="00C634F1"/>
    <w:rsid w:val="00C72EDE"/>
    <w:rsid w:val="00C74C9C"/>
    <w:rsid w:val="00C80C6C"/>
    <w:rsid w:val="00C81401"/>
    <w:rsid w:val="00C81B18"/>
    <w:rsid w:val="00C876B7"/>
    <w:rsid w:val="00C90554"/>
    <w:rsid w:val="00C91A0C"/>
    <w:rsid w:val="00C9769F"/>
    <w:rsid w:val="00CA5F9F"/>
    <w:rsid w:val="00CB6468"/>
    <w:rsid w:val="00CB7984"/>
    <w:rsid w:val="00CC0C99"/>
    <w:rsid w:val="00CC288A"/>
    <w:rsid w:val="00CC666F"/>
    <w:rsid w:val="00CE1CB6"/>
    <w:rsid w:val="00CF467B"/>
    <w:rsid w:val="00CF4EB7"/>
    <w:rsid w:val="00D06A05"/>
    <w:rsid w:val="00D22F45"/>
    <w:rsid w:val="00D2348E"/>
    <w:rsid w:val="00D249B9"/>
    <w:rsid w:val="00D2776D"/>
    <w:rsid w:val="00D27AFB"/>
    <w:rsid w:val="00D41493"/>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1B21"/>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1EC"/>
    <w:rsid w:val="00E907AA"/>
    <w:rsid w:val="00E92688"/>
    <w:rsid w:val="00E975CF"/>
    <w:rsid w:val="00EA0EF6"/>
    <w:rsid w:val="00EA45FB"/>
    <w:rsid w:val="00EA6E3C"/>
    <w:rsid w:val="00EB35BD"/>
    <w:rsid w:val="00EC0B90"/>
    <w:rsid w:val="00EC7959"/>
    <w:rsid w:val="00ED1360"/>
    <w:rsid w:val="00ED74B1"/>
    <w:rsid w:val="00EE1B67"/>
    <w:rsid w:val="00EE2035"/>
    <w:rsid w:val="00EF6AA9"/>
    <w:rsid w:val="00F232EF"/>
    <w:rsid w:val="00F262A1"/>
    <w:rsid w:val="00F30FF9"/>
    <w:rsid w:val="00F32C26"/>
    <w:rsid w:val="00F336C7"/>
    <w:rsid w:val="00F37352"/>
    <w:rsid w:val="00F40051"/>
    <w:rsid w:val="00F45FFC"/>
    <w:rsid w:val="00F46439"/>
    <w:rsid w:val="00F57615"/>
    <w:rsid w:val="00F66E26"/>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s://www.planalto.gov.br/ccivil_03/_ato2011-2014/2012/decreto/d7724.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s://www.planalto.gov.br/ccivil_03/_ato2011-2014/2011/lei/l12527.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453</TotalTime>
  <Pages>18</Pages>
  <Words>5927</Words>
  <Characters>32009</Characters>
  <Application>Microsoft Office Word</Application>
  <DocSecurity>0</DocSecurity>
  <Lines>266</Lines>
  <Paragraphs>75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46</cp:revision>
  <cp:lastPrinted>2024-03-05T17:36:00Z</cp:lastPrinted>
  <dcterms:created xsi:type="dcterms:W3CDTF">2023-08-18T18:10:00Z</dcterms:created>
  <dcterms:modified xsi:type="dcterms:W3CDTF">2024-03-12T17:29:00Z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